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80" w:lineRule="exact"/>
        <w:textAlignment w:val="auto"/>
        <w:rPr>
          <w:rFonts w:hint="eastAsia" w:ascii="仿宋" w:hAnsi="仿宋" w:eastAsia="仿宋" w:cs="仿宋"/>
          <w:sz w:val="32"/>
          <w:szCs w:val="32"/>
        </w:rPr>
      </w:pPr>
      <w:bookmarkStart w:id="0" w:name="_GoBack"/>
    </w:p>
    <w:p>
      <w:pPr>
        <w:keepNext w:val="0"/>
        <w:keepLines w:val="0"/>
        <w:pageBreakBefore w:val="0"/>
        <w:widowControl w:val="0"/>
        <w:kinsoku/>
        <w:wordWrap/>
        <w:overflowPunct/>
        <w:topLinePunct w:val="0"/>
        <w:autoSpaceDE/>
        <w:autoSpaceDN/>
        <w:bidi w:val="0"/>
        <w:spacing w:line="4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spacing w:line="480" w:lineRule="exact"/>
        <w:jc w:val="center"/>
        <w:textAlignment w:val="auto"/>
        <w:rPr>
          <w:rFonts w:hint="eastAsia" w:ascii="宋体" w:hAnsi="宋体" w:cs="宋体"/>
          <w:b/>
          <w:bCs/>
          <w:sz w:val="44"/>
          <w:szCs w:val="44"/>
        </w:rPr>
      </w:pPr>
      <w:r>
        <w:rPr>
          <w:rFonts w:hint="eastAsia" w:ascii="宋体" w:hAnsi="宋体" w:cs="宋体"/>
          <w:b/>
          <w:bCs/>
          <w:sz w:val="44"/>
          <w:szCs w:val="44"/>
          <w:lang w:eastAsia="zh-CN"/>
        </w:rPr>
        <w:t>潮州</w:t>
      </w:r>
      <w:r>
        <w:rPr>
          <w:rFonts w:hint="eastAsia" w:ascii="宋体" w:hAnsi="宋体" w:cs="宋体"/>
          <w:b/>
          <w:bCs/>
          <w:sz w:val="44"/>
          <w:szCs w:val="44"/>
        </w:rPr>
        <w:t>市建设工程招标投标情况</w:t>
      </w:r>
    </w:p>
    <w:p>
      <w:pPr>
        <w:keepNext w:val="0"/>
        <w:keepLines w:val="0"/>
        <w:pageBreakBefore w:val="0"/>
        <w:widowControl w:val="0"/>
        <w:kinsoku/>
        <w:wordWrap/>
        <w:overflowPunct/>
        <w:topLinePunct w:val="0"/>
        <w:autoSpaceDE/>
        <w:autoSpaceDN/>
        <w:bidi w:val="0"/>
        <w:spacing w:line="480" w:lineRule="exact"/>
        <w:jc w:val="center"/>
        <w:textAlignment w:val="auto"/>
        <w:rPr>
          <w:rFonts w:hint="eastAsia" w:ascii="宋体" w:hAnsi="宋体" w:cs="宋体"/>
          <w:b/>
          <w:bCs/>
          <w:sz w:val="44"/>
          <w:szCs w:val="44"/>
        </w:rPr>
      </w:pPr>
      <w:r>
        <w:rPr>
          <w:rFonts w:hint="eastAsia" w:ascii="宋体" w:hAnsi="宋体" w:cs="宋体"/>
          <w:b/>
          <w:bCs/>
          <w:sz w:val="44"/>
          <w:szCs w:val="44"/>
        </w:rPr>
        <w:t>后评估工作规则（试行）</w:t>
      </w:r>
    </w:p>
    <w:p>
      <w:pPr>
        <w:keepNext w:val="0"/>
        <w:keepLines w:val="0"/>
        <w:pageBreakBefore w:val="0"/>
        <w:widowControl w:val="0"/>
        <w:kinsoku/>
        <w:wordWrap/>
        <w:overflowPunct/>
        <w:topLinePunct w:val="0"/>
        <w:autoSpaceDE/>
        <w:autoSpaceDN/>
        <w:bidi w:val="0"/>
        <w:spacing w:line="4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第一条  建设工程招标投标实行招标人负责制，并由招标人负责定标。为有效监督招标投标活动按照公开、公平、公正及诚实信用原则进行，根据《</w:t>
      </w:r>
      <w:r>
        <w:rPr>
          <w:rFonts w:hint="eastAsia" w:ascii="仿宋" w:hAnsi="仿宋" w:eastAsia="仿宋" w:cs="仿宋"/>
          <w:sz w:val="32"/>
          <w:szCs w:val="32"/>
          <w:lang w:eastAsia="zh-CN"/>
        </w:rPr>
        <w:t>关于建设工程招标投标改革的若干规定（试行）</w:t>
      </w:r>
      <w:r>
        <w:rPr>
          <w:rFonts w:hint="eastAsia" w:ascii="仿宋" w:hAnsi="仿宋" w:eastAsia="仿宋" w:cs="仿宋"/>
          <w:sz w:val="32"/>
          <w:szCs w:val="32"/>
        </w:rPr>
        <w:t>》（</w:t>
      </w:r>
      <w:r>
        <w:rPr>
          <w:rFonts w:hint="eastAsia" w:ascii="仿宋" w:hAnsi="仿宋" w:eastAsia="仿宋" w:cs="仿宋"/>
          <w:sz w:val="32"/>
          <w:szCs w:val="32"/>
          <w:lang w:eastAsia="zh-CN"/>
        </w:rPr>
        <w:t>潮</w:t>
      </w:r>
      <w:r>
        <w:rPr>
          <w:rFonts w:hint="eastAsia" w:ascii="仿宋" w:hAnsi="仿宋" w:eastAsia="仿宋" w:cs="仿宋"/>
          <w:sz w:val="32"/>
          <w:szCs w:val="32"/>
        </w:rPr>
        <w:t>府</w:t>
      </w:r>
      <w:r>
        <w:rPr>
          <w:rFonts w:hint="eastAsia" w:ascii="仿宋" w:hAnsi="仿宋" w:eastAsia="仿宋" w:cs="仿宋"/>
          <w:sz w:val="32"/>
          <w:szCs w:val="32"/>
          <w:lang w:eastAsia="zh-CN"/>
        </w:rPr>
        <w:t>规</w:t>
      </w:r>
      <w:r>
        <w:rPr>
          <w:rFonts w:hint="eastAsia" w:ascii="仿宋" w:hAnsi="仿宋" w:eastAsia="仿宋" w:cs="仿宋"/>
          <w:sz w:val="32"/>
          <w:szCs w:val="32"/>
        </w:rPr>
        <w:t>〔</w:t>
      </w:r>
      <w:r>
        <w:rPr>
          <w:rFonts w:hint="eastAsia" w:ascii="仿宋" w:hAnsi="仿宋" w:eastAsia="仿宋" w:cs="仿宋"/>
          <w:sz w:val="32"/>
          <w:szCs w:val="32"/>
          <w:lang w:val="en-US" w:eastAsia="zh-CN"/>
        </w:rPr>
        <w:t>2021</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号）建立建设工程招标投标情况后评估制度的要求，制定本规则。</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第二条  建设工程招标投标情况后评估（以下简称“标后评估”）是指招标投标活动完成后，由</w:t>
      </w:r>
      <w:r>
        <w:rPr>
          <w:rFonts w:hint="eastAsia" w:ascii="仿宋" w:hAnsi="仿宋" w:eastAsia="仿宋" w:cs="仿宋"/>
          <w:sz w:val="32"/>
          <w:szCs w:val="32"/>
          <w:lang w:val="en-US" w:eastAsia="zh-CN"/>
        </w:rPr>
        <w:t>建设、交通、水务</w:t>
      </w:r>
      <w:r>
        <w:rPr>
          <w:rFonts w:hint="eastAsia" w:ascii="仿宋" w:hAnsi="仿宋" w:eastAsia="仿宋" w:cs="仿宋"/>
          <w:i w:val="0"/>
          <w:iCs w:val="0"/>
          <w:sz w:val="32"/>
          <w:szCs w:val="32"/>
          <w:highlight w:val="none"/>
          <w:u w:val="none"/>
          <w:lang w:val="en-US" w:eastAsia="zh-CN"/>
        </w:rPr>
        <w:t>等</w:t>
      </w:r>
      <w:r>
        <w:rPr>
          <w:rFonts w:hint="eastAsia" w:ascii="仿宋" w:hAnsi="仿宋" w:eastAsia="仿宋" w:cs="仿宋"/>
          <w:sz w:val="32"/>
          <w:szCs w:val="32"/>
          <w:lang w:val="en-US" w:eastAsia="zh-CN"/>
        </w:rPr>
        <w:t>行业行政主管部门</w:t>
      </w:r>
      <w:r>
        <w:rPr>
          <w:rFonts w:hint="eastAsia" w:ascii="仿宋" w:hAnsi="仿宋" w:eastAsia="仿宋" w:cs="仿宋"/>
          <w:sz w:val="32"/>
          <w:szCs w:val="32"/>
        </w:rPr>
        <w:t>对其监管招标项目的招标投标活动过程是否符合公开、公平、公正及诚实信用原则，招标结果是否合理进行的评估。</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第三条  标后评估的主要内容：</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（一）招标程序的合法性、合规性；</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（二）招标文件是否设置不合理的排他性条件或排他性技术要求；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（三）招标人是否公平、公正处理投标人的质疑、异议；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（四）招标人是否引导投标人合理、有序竞价；</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（五）过多投标人淘汰环节是否遵循择优原则；</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（六）定标工作的合法性、合规性；</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（七）中标人在所有递交文件的投标人中是否属于综合实力较强、信誉较好、价格合理的投标人；</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（八）是否存在围标串标情况；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（九）招标过程中的其他异常情况。</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第四条  标后评估以招标结果是否合理作为导向，重点评估评定分离项目的招标结果是否实现“择优和竞价”的招标目的。以下情况是标后评估重点关注的事项：</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（一）招标文件的评标、定标方法是否引导投标人进行合理有序竞价，是否出现大多数投标人报价集中贴近投标报价上限价的一定区间范围内；</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（二）在过多投标人淘汰环节，进入评标环节投标人是否比被淘汰投标人综合实力更强、信誉更好、履约能力更强；</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三）在票决定标环节，得票较多投标人其综合实力、信誉、履约能力是否比得票较少（包括未得票）投标人的综合实力、信誉、履约能力更强、更好；在综合实力、信誉、履约能力相当的投标人中，投标报价较低的投标人得票是否多于投标报价较高的投标人得票；</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（四）招标结果是否出现下列异常情况：</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1.综合实力、信誉、履约能力一般且投标报价位于高价区的投标人中标，综合实力更强、信誉更好、履约能力更强的投标人不入围、不中标；</w:t>
      </w:r>
    </w:p>
    <w:p>
      <w:pPr>
        <w:keepNext w:val="0"/>
        <w:keepLines w:val="0"/>
        <w:pageBreakBefore w:val="0"/>
        <w:widowControl w:val="0"/>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2.综合实力、信誉、履约能力一般（无论其投标报价是否位于中低价区）的投标人中标，综合实力更强、信誉更好、履约能力更强、投标报价与其相当或较低的投标人不入围、不中标。</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  标后评估每年开展一次，评估项目采取抽样方式确定，原则上覆盖前一时间段所有评定分离招标项目。下列评定分离招标项目应进行重点评估：</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color w:val="FF0000"/>
          <w:sz w:val="32"/>
          <w:szCs w:val="32"/>
          <w:lang w:eastAsia="zh-CN"/>
        </w:rPr>
      </w:pPr>
      <w:r>
        <w:rPr>
          <w:rFonts w:hint="eastAsia" w:ascii="仿宋" w:hAnsi="仿宋" w:eastAsia="仿宋" w:cs="仿宋"/>
          <w:sz w:val="32"/>
          <w:szCs w:val="32"/>
        </w:rPr>
        <w:t>（一）</w:t>
      </w:r>
      <w:r>
        <w:rPr>
          <w:rFonts w:hint="eastAsia" w:ascii="仿宋" w:hAnsi="仿宋" w:eastAsia="仿宋" w:cs="仿宋"/>
          <w:sz w:val="32"/>
          <w:szCs w:val="32"/>
          <w:lang w:eastAsia="zh-CN"/>
        </w:rPr>
        <w:t>市重点工程建设项目；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（二）招标过程中异议较多或者有投诉的；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（三）信访件质疑招投标公开、公平、公正的；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（四）舆论、媒体关注的；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（五）群众反映强烈的；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（六）在建工程出现质量、安全事故的；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（七）涉及上级部门交办事项或纪检监察、审计等有关部门移交线索的。</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第六条  标后评估实施方式</w:t>
      </w:r>
      <w:r>
        <w:rPr>
          <w:rFonts w:hint="eastAsia" w:ascii="仿宋" w:hAnsi="仿宋" w:eastAsia="仿宋" w:cs="仿宋"/>
          <w:sz w:val="32"/>
          <w:szCs w:val="32"/>
          <w:lang w:eastAsia="zh-CN"/>
        </w:rPr>
        <w:t>为</w:t>
      </w:r>
      <w:r>
        <w:rPr>
          <w:rFonts w:hint="eastAsia" w:ascii="仿宋" w:hAnsi="仿宋" w:eastAsia="仿宋" w:cs="仿宋"/>
          <w:sz w:val="32"/>
          <w:szCs w:val="32"/>
        </w:rPr>
        <w:t>委托专业机构评估。</w:t>
      </w:r>
    </w:p>
    <w:p>
      <w:pPr>
        <w:keepNext w:val="0"/>
        <w:keepLines w:val="0"/>
        <w:pageBreakBefore w:val="0"/>
        <w:widowControl w:val="0"/>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参与标后评估的专业机构，应熟悉</w:t>
      </w:r>
      <w:r>
        <w:rPr>
          <w:rFonts w:hint="eastAsia" w:ascii="仿宋" w:hAnsi="仿宋" w:eastAsia="仿宋" w:cs="仿宋"/>
          <w:sz w:val="32"/>
          <w:szCs w:val="32"/>
          <w:lang w:eastAsia="zh-CN"/>
        </w:rPr>
        <w:t>潮州</w:t>
      </w:r>
      <w:r>
        <w:rPr>
          <w:rFonts w:hint="eastAsia" w:ascii="仿宋" w:hAnsi="仿宋" w:eastAsia="仿宋" w:cs="仿宋"/>
          <w:sz w:val="32"/>
          <w:szCs w:val="32"/>
        </w:rPr>
        <w:t>建筑市场从业企业的综合实力、信誉、履约能力等情况，要求个人的作风正派、品德端正，单位的信誉良好，确保评估工作过程保密、结果客观公正。评估过程避重就轻、弄虚作假的，由相关部门依法追究其法律责任。</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第七条  标后评估可分为初步筛查和详细评估两个阶段进行，评估工作完成后，由评估人出具总体评估报告及各招标项目评估子报告。</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初步筛查时，主要查找存在本规则第四条所列情形的招标项目以及须进行重点评估的招标项目。</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详细评估主要针对初步筛查找出的招标项目，按照本规则第三条、第四条要求进行。</w:t>
      </w:r>
    </w:p>
    <w:p>
      <w:pPr>
        <w:keepNext w:val="0"/>
        <w:keepLines w:val="0"/>
        <w:pageBreakBefore w:val="0"/>
        <w:widowControl w:val="0"/>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交易中心应为标后评估提供必要的支持。</w:t>
      </w:r>
    </w:p>
    <w:p>
      <w:pPr>
        <w:keepNext w:val="0"/>
        <w:keepLines w:val="0"/>
        <w:pageBreakBefore w:val="0"/>
        <w:widowControl w:val="0"/>
        <w:numPr>
          <w:ilvl w:val="0"/>
          <w:numId w:val="1"/>
        </w:numPr>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建设、交通、水务</w:t>
      </w:r>
      <w:r>
        <w:rPr>
          <w:rFonts w:hint="eastAsia" w:ascii="仿宋" w:hAnsi="仿宋" w:eastAsia="仿宋" w:cs="仿宋"/>
          <w:i w:val="0"/>
          <w:iCs w:val="0"/>
          <w:sz w:val="32"/>
          <w:szCs w:val="32"/>
          <w:highlight w:val="none"/>
          <w:u w:val="none"/>
          <w:lang w:val="en-US" w:eastAsia="zh-CN"/>
        </w:rPr>
        <w:t>等</w:t>
      </w:r>
      <w:r>
        <w:rPr>
          <w:rFonts w:hint="eastAsia" w:ascii="仿宋" w:hAnsi="仿宋" w:eastAsia="仿宋" w:cs="仿宋"/>
          <w:sz w:val="32"/>
          <w:szCs w:val="32"/>
        </w:rPr>
        <w:t>行政主管部门可视情况对汇总的评估报告进行复核。</w:t>
      </w:r>
    </w:p>
    <w:p>
      <w:pPr>
        <w:keepNext w:val="0"/>
        <w:keepLines w:val="0"/>
        <w:pageBreakBefore w:val="0"/>
        <w:widowControl w:val="0"/>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总体评估报告及评估结果合理性存疑的招标项目，原则上对社会公开。</w:t>
      </w:r>
    </w:p>
    <w:p>
      <w:pPr>
        <w:keepNext w:val="0"/>
        <w:keepLines w:val="0"/>
        <w:pageBreakBefore w:val="0"/>
        <w:widowControl w:val="0"/>
        <w:numPr>
          <w:ilvl w:val="0"/>
          <w:numId w:val="1"/>
        </w:numPr>
        <w:kinsoku/>
        <w:wordWrap/>
        <w:overflowPunct/>
        <w:topLinePunct w:val="0"/>
        <w:autoSpaceDE/>
        <w:autoSpaceDN/>
        <w:bidi w:val="0"/>
        <w:adjustRightInd w:val="0"/>
        <w:snapToGrid w:val="0"/>
        <w:spacing w:line="48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建设、交通、水务</w:t>
      </w:r>
      <w:r>
        <w:rPr>
          <w:rFonts w:hint="eastAsia" w:ascii="仿宋" w:hAnsi="仿宋" w:eastAsia="仿宋" w:cs="仿宋"/>
          <w:i w:val="0"/>
          <w:iCs w:val="0"/>
          <w:sz w:val="32"/>
          <w:szCs w:val="32"/>
          <w:highlight w:val="none"/>
          <w:u w:val="none"/>
          <w:lang w:val="en-US" w:eastAsia="zh-CN"/>
        </w:rPr>
        <w:t>等</w:t>
      </w:r>
      <w:r>
        <w:rPr>
          <w:rFonts w:hint="eastAsia" w:ascii="仿宋" w:hAnsi="仿宋" w:eastAsia="仿宋" w:cs="仿宋"/>
          <w:sz w:val="32"/>
          <w:szCs w:val="32"/>
        </w:rPr>
        <w:t>行政主管部门应对评估过程中发现的违法违规行为，依法严肃处理，涉嫌违反党纪政纪的，应将有关线索移送同级纪检监察部门。</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建设工程质量安全监督机构应将评估报告认定招标结果不合理或存在问题的项目列为重点监管对象，</w:t>
      </w:r>
      <w:r>
        <w:rPr>
          <w:rFonts w:hint="eastAsia" w:ascii="仿宋" w:hAnsi="仿宋" w:eastAsia="仿宋" w:cs="仿宋"/>
          <w:sz w:val="32"/>
          <w:szCs w:val="32"/>
          <w:lang w:eastAsia="zh-CN"/>
        </w:rPr>
        <w:t>加强监管力度</w:t>
      </w:r>
      <w:r>
        <w:rPr>
          <w:rFonts w:hint="eastAsia" w:ascii="仿宋" w:hAnsi="仿宋" w:eastAsia="仿宋" w:cs="仿宋"/>
          <w:sz w:val="32"/>
          <w:szCs w:val="32"/>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80" w:lineRule="exact"/>
        <w:ind w:left="0" w:leftChars="0" w:firstLine="640" w:firstLineChars="0"/>
        <w:textAlignment w:val="auto"/>
        <w:rPr>
          <w:rFonts w:hint="eastAsia" w:ascii="仿宋" w:hAnsi="仿宋" w:eastAsia="仿宋" w:cs="仿宋"/>
          <w:sz w:val="32"/>
          <w:szCs w:val="32"/>
        </w:rPr>
      </w:pPr>
      <w:r>
        <w:rPr>
          <w:rFonts w:hint="eastAsia" w:ascii="仿宋" w:hAnsi="仿宋" w:eastAsia="仿宋" w:cs="仿宋"/>
          <w:sz w:val="32"/>
          <w:szCs w:val="32"/>
        </w:rPr>
        <w:t>招标人应对标后评估中发现问题进行认真分析，在规定时间内制定改正措施并实施，加强工程项目管理，确保工程质量与安全。</w:t>
      </w:r>
    </w:p>
    <w:p>
      <w:pPr>
        <w:keepNext w:val="0"/>
        <w:keepLines w:val="0"/>
        <w:pageBreakBefore w:val="0"/>
        <w:widowControl w:val="0"/>
        <w:kinsoku/>
        <w:wordWrap/>
        <w:overflowPunct/>
        <w:topLinePunct w:val="0"/>
        <w:autoSpaceDE/>
        <w:autoSpaceDN/>
        <w:bidi w:val="0"/>
        <w:spacing w:line="480" w:lineRule="exact"/>
        <w:textAlignment w:val="auto"/>
        <w:rPr>
          <w:lang w:val="en-US"/>
        </w:rPr>
      </w:pPr>
    </w:p>
    <w:p>
      <w:pPr>
        <w:keepNext w:val="0"/>
        <w:keepLines w:val="0"/>
        <w:pageBreakBefore w:val="0"/>
        <w:widowControl w:val="0"/>
        <w:kinsoku/>
        <w:wordWrap/>
        <w:overflowPunct/>
        <w:topLinePunct w:val="0"/>
        <w:autoSpaceDE/>
        <w:autoSpaceDN/>
        <w:bidi w:val="0"/>
        <w:spacing w:line="480" w:lineRule="exact"/>
        <w:textAlignment w:val="auto"/>
      </w:pPr>
    </w:p>
    <w:p>
      <w:pPr>
        <w:keepNext w:val="0"/>
        <w:keepLines w:val="0"/>
        <w:pageBreakBefore w:val="0"/>
        <w:widowControl w:val="0"/>
        <w:kinsoku/>
        <w:wordWrap/>
        <w:overflowPunct/>
        <w:topLinePunct w:val="0"/>
        <w:autoSpaceDE/>
        <w:autoSpaceDN/>
        <w:bidi w:val="0"/>
        <w:spacing w:line="480" w:lineRule="exact"/>
        <w:textAlignment w:val="auto"/>
      </w:pPr>
    </w:p>
    <w:bookmarkEnd w:id="0"/>
    <w:sectPr>
      <w:footerReference r:id="rId3" w:type="default"/>
      <w:pgSz w:w="11906" w:h="16838"/>
      <w:pgMar w:top="2041" w:right="1531"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Noto Sans CJK SC"/>
    <w:panose1 w:val="02010609060101010101"/>
    <w:charset w:val="86"/>
    <w:family w:val="modern"/>
    <w:pitch w:val="default"/>
    <w:sig w:usb0="00000000" w:usb1="00000000" w:usb2="00000016" w:usb3="00000000" w:csb0="00040001"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2</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C137D"/>
    <w:multiLevelType w:val="singleLevel"/>
    <w:tmpl w:val="589C137D"/>
    <w:lvl w:ilvl="0" w:tentative="0">
      <w:start w:val="8"/>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FE0981"/>
    <w:rsid w:val="0B3653D9"/>
    <w:rsid w:val="102D36E4"/>
    <w:rsid w:val="1CC5480B"/>
    <w:rsid w:val="2E9B14C1"/>
    <w:rsid w:val="542859B6"/>
    <w:rsid w:val="56FE0981"/>
    <w:rsid w:val="676E492D"/>
    <w:rsid w:val="6D016A49"/>
    <w:rsid w:val="FF3EA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2021-04-27T03:35:00Z</dcterms:created>
  <dc:creator>震</dc:creator>
  <cp:lastModifiedBy>b04</cp:lastModifiedBy>
  <dcterms:modified xsi:type="dcterms:W3CDTF">2021-06-07T21:45:53Z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