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潮州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市</w:t>
      </w:r>
      <w:r>
        <w:rPr>
          <w:rFonts w:ascii="宋体" w:hAnsi="宋体" w:eastAsia="宋体" w:cs="宋体"/>
          <w:b/>
          <w:bCs/>
          <w:sz w:val="36"/>
          <w:szCs w:val="36"/>
        </w:rPr>
        <w:t>公共资源交易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中心建设工程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招标代理机构进场规范（试行）</w:t>
      </w:r>
    </w:p>
    <w:p>
      <w:pPr>
        <w:widowControl w:val="0"/>
        <w:numPr>
          <w:ilvl w:val="0"/>
          <w:numId w:val="0"/>
        </w:numPr>
        <w:wordWrap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2" w:leftChars="0" w:firstLine="561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进一步加强我市公共资源交易招标代理机构进场管理，规范招标代理机构工作人员的进场行为，提高代理机构的服务质量，确保进场交易工作规范有序进行，结合工作实际，制定本规范。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42" w:leftChars="0" w:firstLine="561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本规范适用于进入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潮州</w:t>
      </w:r>
      <w:r>
        <w:rPr>
          <w:rFonts w:hint="eastAsia" w:ascii="仿宋" w:hAnsi="仿宋" w:eastAsia="仿宋" w:cs="仿宋"/>
          <w:sz w:val="28"/>
          <w:szCs w:val="28"/>
        </w:rPr>
        <w:t>市公共资源交易中心（以下简称交易中心）场所参与工程建设项目开标、评标活动的招标代理机构及其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人员。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规范所称的工程建设项目招标代理活动，是指招标代理机构在招标人委托的范围内，对建设工程项目的勘察、设计、施工、监理以及与工程建设有关的重要设备（进口机电设备除外）、材料采购等提供招标服务的行为。 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招标代理机构工作人员应熟悉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相关法律法规及</w:t>
      </w:r>
      <w:r>
        <w:rPr>
          <w:rFonts w:hint="eastAsia" w:ascii="仿宋" w:hAnsi="仿宋" w:eastAsia="仿宋" w:cs="仿宋"/>
          <w:sz w:val="28"/>
          <w:szCs w:val="28"/>
        </w:rPr>
        <w:t>国家、省、市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有关</w:t>
      </w:r>
      <w:r>
        <w:rPr>
          <w:rFonts w:hint="eastAsia" w:ascii="仿宋" w:hAnsi="仿宋" w:eastAsia="仿宋" w:cs="仿宋"/>
          <w:sz w:val="28"/>
          <w:szCs w:val="28"/>
        </w:rPr>
        <w:t>建设工程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相关规定</w:t>
      </w:r>
      <w:r>
        <w:rPr>
          <w:rFonts w:hint="eastAsia" w:ascii="仿宋" w:hAnsi="仿宋" w:eastAsia="仿宋" w:cs="仿宋"/>
          <w:sz w:val="28"/>
          <w:szCs w:val="28"/>
        </w:rPr>
        <w:t>，熟悉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潮州市公共资源交易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全流程电子化系统</w:t>
      </w:r>
      <w:r>
        <w:rPr>
          <w:rFonts w:hint="eastAsia" w:ascii="仿宋" w:hAnsi="仿宋" w:eastAsia="仿宋" w:cs="仿宋"/>
          <w:sz w:val="28"/>
          <w:szCs w:val="28"/>
        </w:rPr>
        <w:t>的操作及招投标业务流程。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参与开标、评标活动的招标代理机构工作人员必须是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招标代理机构授权的</w:t>
      </w:r>
      <w:r>
        <w:rPr>
          <w:rFonts w:hint="eastAsia" w:ascii="仿宋" w:hAnsi="仿宋" w:eastAsia="仿宋" w:cs="仿宋"/>
          <w:sz w:val="28"/>
          <w:szCs w:val="28"/>
        </w:rPr>
        <w:t>人员，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sz w:val="28"/>
          <w:szCs w:val="28"/>
        </w:rPr>
        <w:t>做到举止、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语言</w:t>
      </w:r>
      <w:r>
        <w:rPr>
          <w:rFonts w:hint="eastAsia" w:ascii="仿宋" w:hAnsi="仿宋" w:eastAsia="仿宋" w:cs="仿宋"/>
          <w:sz w:val="28"/>
          <w:szCs w:val="28"/>
        </w:rPr>
        <w:t>文明，在开评标全过程中必须佩戴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招标代理进场</w:t>
      </w:r>
      <w:r>
        <w:rPr>
          <w:rFonts w:hint="eastAsia" w:ascii="仿宋" w:hAnsi="仿宋" w:eastAsia="仿宋" w:cs="仿宋"/>
          <w:sz w:val="28"/>
          <w:szCs w:val="28"/>
        </w:rPr>
        <w:t xml:space="preserve">工作证。 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招标代理机构必须及时、完整地向交易中心提交</w:t>
      </w:r>
      <w:r>
        <w:rPr>
          <w:rFonts w:hint="eastAsia" w:ascii="仿宋" w:hAnsi="仿宋" w:eastAsia="仿宋" w:cs="仿宋"/>
          <w:sz w:val="28"/>
          <w:szCs w:val="28"/>
        </w:rPr>
        <w:t>招标代理项目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其提交资料的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准确性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、真实性、完整性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和合法性负责；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保证</w:t>
      </w:r>
      <w:r>
        <w:rPr>
          <w:rFonts w:hint="eastAsia" w:ascii="仿宋" w:hAnsi="仿宋" w:eastAsia="仿宋" w:cs="仿宋"/>
          <w:sz w:val="28"/>
          <w:szCs w:val="28"/>
        </w:rPr>
        <w:t>发布内容与提交的纸质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资</w:t>
      </w:r>
      <w:r>
        <w:rPr>
          <w:rFonts w:hint="eastAsia" w:ascii="仿宋" w:hAnsi="仿宋" w:eastAsia="仿宋" w:cs="仿宋"/>
          <w:sz w:val="28"/>
          <w:szCs w:val="28"/>
        </w:rPr>
        <w:t>料完全一致，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</w:t>
      </w:r>
      <w:r>
        <w:rPr>
          <w:rFonts w:hint="eastAsia" w:ascii="仿宋" w:hAnsi="仿宋" w:eastAsia="仿宋" w:cs="仿宋"/>
          <w:sz w:val="28"/>
          <w:szCs w:val="28"/>
        </w:rPr>
        <w:t>确保信息发布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时效性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公正性。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因提交、发布资料存在问题而导致不良后果的，由招标代理机构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承担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责任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招标代理机构工作人员应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招标公告载明的开标时间</w:t>
      </w:r>
      <w:r>
        <w:rPr>
          <w:rFonts w:hint="eastAsia" w:ascii="仿宋" w:hAnsi="仿宋" w:eastAsia="仿宋" w:cs="仿宋"/>
          <w:sz w:val="28"/>
          <w:szCs w:val="28"/>
        </w:rPr>
        <w:t>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30分钟到达开标现场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做好场地布置、岗位安排等标前准备工作。根据招标代理项目的具体情况，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统筹做好评标专家抽取工作及开评标现场服务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招标代理机构在招标人的委托或授权下，应按照招标文件规定的时间、地点解密投标文件。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如出现开标异议，应及时处理。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招标代理机构工作人员应具备相应的应急处理能力。对在开标、评标过程中发生的突发情况，经招标人授权，在不违反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律法规的前提下，可采取相应的应急方案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确保开评标活动正常进行。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评标区实行物理隔离，评标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区内</w:t>
      </w:r>
      <w:r>
        <w:rPr>
          <w:rFonts w:hint="eastAsia" w:ascii="仿宋" w:hAnsi="仿宋" w:eastAsia="仿宋" w:cs="仿宋"/>
          <w:sz w:val="28"/>
          <w:szCs w:val="28"/>
        </w:rPr>
        <w:t>不得使用通讯设备。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招标代理机构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应在评标工作开始前，向评标委员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告知回避要求，出示需要回避单位名单，由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评标委员会确认不存在回避情形并在《回避承诺函》签名确认。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招标代理机构工作人员</w:t>
      </w:r>
      <w:r>
        <w:rPr>
          <w:rFonts w:hint="eastAsia" w:ascii="仿宋" w:hAnsi="仿宋" w:eastAsia="仿宋" w:cs="仿宋"/>
          <w:sz w:val="28"/>
          <w:szCs w:val="28"/>
        </w:rPr>
        <w:t>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评标开始后</w:t>
      </w:r>
      <w:r>
        <w:rPr>
          <w:rFonts w:hint="eastAsia" w:ascii="仿宋" w:hAnsi="仿宋" w:eastAsia="仿宋" w:cs="仿宋"/>
          <w:sz w:val="28"/>
          <w:szCs w:val="28"/>
        </w:rPr>
        <w:t>离开评标区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，在开评标过程中，不得与评标委员会成员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私下接触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不得发表任何有可能影响评标委员会成员客观、公正评审的言论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；不得</w:t>
      </w:r>
      <w:r>
        <w:rPr>
          <w:rFonts w:hint="eastAsia" w:ascii="仿宋" w:hAnsi="仿宋" w:eastAsia="仿宋" w:cs="仿宋"/>
          <w:sz w:val="28"/>
          <w:szCs w:val="28"/>
        </w:rPr>
        <w:t>干预或干扰评标专家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正常评审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评标结束后招标代理机构工作人员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应当认真审查评标委员会提交的书面评标报告，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不得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违法泄露应当保密的与评标活动有关的情况和资料，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并协助招标人对评标委员会履职情况如实做出客观评价；如发现评标委员会成员存在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违法违规行为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，应如实报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监管部门，并保留相关证据材料以备核实。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招标代理机构工作人员不得</w:t>
      </w:r>
      <w:r>
        <w:rPr>
          <w:rFonts w:hint="eastAsia" w:ascii="仿宋" w:hAnsi="仿宋" w:eastAsia="仿宋" w:cs="仿宋"/>
          <w:sz w:val="28"/>
          <w:szCs w:val="28"/>
        </w:rPr>
        <w:t>向招标人、评标委员会成员、交易中心工作人员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行政</w:t>
      </w:r>
      <w:r>
        <w:rPr>
          <w:rFonts w:hint="eastAsia" w:ascii="仿宋" w:hAnsi="仿宋" w:eastAsia="仿宋" w:cs="仿宋"/>
          <w:sz w:val="28"/>
          <w:szCs w:val="28"/>
        </w:rPr>
        <w:t>监督部门工作人员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行贿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在开标评标过程中发现问题的，招标代理机构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工作人员</w:t>
      </w:r>
      <w:r>
        <w:rPr>
          <w:rFonts w:hint="eastAsia" w:ascii="仿宋" w:hAnsi="仿宋" w:eastAsia="仿宋" w:cs="仿宋"/>
          <w:sz w:val="28"/>
          <w:szCs w:val="28"/>
        </w:rPr>
        <w:t>应及时向招标人、交易中心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行政</w:t>
      </w:r>
      <w:r>
        <w:rPr>
          <w:rFonts w:hint="eastAsia" w:ascii="仿宋" w:hAnsi="仿宋" w:eastAsia="仿宋" w:cs="仿宋"/>
          <w:sz w:val="28"/>
          <w:szCs w:val="28"/>
        </w:rPr>
        <w:t xml:space="preserve">监督部门反映。 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开评标过程如因代理机构操作不当所产生的设施设备故障、场地损坏等突发事件及由此产生的投诉等意外情况，均由招标代理机构承担责任。对使用过程中造成公共财产损失的，由招标代理机构负责赔偿。由第三方造成损害的，可向第三方追偿。 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招标代理机构工作人员必须在规定的场所开展工作，不得进行与代理项目无关的工作活动，无特殊情况、未经交易中心同意不得随意更换或占用标室，不得干扰交易中心正常工作秩序。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招标代理机构工作人员必须服从开评标现场工作人员管理，保持开评标有序进行，严格按照规范程序组织开评标，不得大声喧哗、随意走动、随地吐痰，保持室内整洁，禁止场内吸烟。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开评标结束后，招标代理机构要对开评标室内相关设施设备进行检查，确认电器设备电源关闭、完好无损后方能离开交易中心。如发现开评标场所内设施设备发生故障的，应</w:t>
      </w:r>
      <w:r>
        <w:rPr>
          <w:rFonts w:hint="eastAsia" w:ascii="仿宋" w:hAnsi="仿宋" w:eastAsia="仿宋" w:cs="仿宋"/>
          <w:sz w:val="28"/>
          <w:szCs w:val="28"/>
        </w:rPr>
        <w:t>及时主动告知交易中心，防止损失扩大。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对采取远程异地评标的项目，招标代理机构应做好远程开标、主副场异地评标相关服务工作，及时提供用于满足开标、评标要求的招标文件、评标表格等资料，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在线答疑、专家评审费结算等工作。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</w:t>
      </w:r>
      <w:r>
        <w:rPr>
          <w:rFonts w:hint="eastAsia" w:ascii="仿宋" w:hAnsi="仿宋" w:eastAsia="仿宋" w:cs="仿宋"/>
          <w:sz w:val="28"/>
          <w:szCs w:val="28"/>
        </w:rPr>
        <w:t>代理机构原因导致招标项目延期、失败或产生其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它</w:t>
      </w:r>
      <w:r>
        <w:rPr>
          <w:rFonts w:hint="eastAsia" w:ascii="仿宋" w:hAnsi="仿宋" w:eastAsia="仿宋" w:cs="仿宋"/>
          <w:sz w:val="28"/>
          <w:szCs w:val="28"/>
        </w:rPr>
        <w:t>不良后果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，由招标代理机构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承担责任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代理机构工作人员在场内应严格遵守本行为规范。违反本规范相关条款或存在负面清单（详见附件）行为的，交易中心将如实进行记录，并定期在潮州市公共资源交易网上曝光并抄送行政监督部门。具体处理规定如下：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1.招标代理机构及其工作人员存在1次记录的，交易中心通报该招标代理机构；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2.连续3个项目及以上或一个月内有3次及以上被记录的，交易</w:t>
      </w:r>
    </w:p>
    <w:p>
      <w:pPr>
        <w:widowControl w:val="0"/>
        <w:numPr>
          <w:ilvl w:val="0"/>
          <w:numId w:val="0"/>
        </w:numPr>
        <w:wordWrap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中心约谈该招标代理机构；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3.涉及违法违规情形的，交易中心立即向行政监督部门通报；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在同一时段有多个招标代理机构提出开标、评标、定标场地预约申请的，交易中心可根据招标代理机构进场情况，优先安排上月度履行本规范较好的申请人。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本规范最终解释权属潮州市公共资源交易中心。</w:t>
      </w:r>
    </w:p>
    <w:p>
      <w:pPr>
        <w:widowControl w:val="0"/>
        <w:numPr>
          <w:ilvl w:val="0"/>
          <w:numId w:val="1"/>
        </w:numPr>
        <w:wordWrap/>
        <w:adjustRightInd/>
        <w:snapToGrid/>
        <w:ind w:left="-140" w:leftChars="0" w:firstLine="56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本规范自发布之日起施行。</w:t>
      </w:r>
    </w:p>
    <w:p>
      <w:pPr>
        <w:widowControl w:val="0"/>
        <w:numPr>
          <w:ilvl w:val="0"/>
          <w:numId w:val="0"/>
        </w:numPr>
        <w:wordWrap/>
        <w:adjustRightInd/>
        <w:snapToGrid/>
        <w:ind w:left="420"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Theme="minorEastAsia" w:hAnsiTheme="minorEastAsia"/>
          <w:bCs/>
          <w:sz w:val="28"/>
          <w:szCs w:val="24"/>
        </w:rPr>
      </w:pPr>
      <w:r>
        <w:rPr>
          <w:rFonts w:hint="eastAsia" w:asciiTheme="minorEastAsia" w:hAnsiTheme="minorEastAsia"/>
          <w:bCs/>
          <w:sz w:val="28"/>
          <w:szCs w:val="24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sz w:val="44"/>
          <w:szCs w:val="44"/>
        </w:rPr>
        <w:t>招标代理机构进场行为负面清单</w:t>
      </w:r>
    </w:p>
    <w:tbl>
      <w:tblPr>
        <w:tblStyle w:val="2"/>
        <w:tblW w:w="10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6516"/>
        <w:gridCol w:w="849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sz w:val="24"/>
                <w:szCs w:val="24"/>
              </w:rPr>
              <w:t>内容描述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kern w:val="0"/>
                <w:sz w:val="24"/>
                <w:szCs w:val="24"/>
              </w:rPr>
              <w:t>是否符合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sz w:val="24"/>
                <w:szCs w:val="24"/>
              </w:rPr>
              <w:t>备注具体行为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发布的招标信息（含招标公告、补遗通知、结果公示等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，下同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）未按相关规定进行备案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，或发布的文件与备案的不一致，电子档与纸质文件不一致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发布的招标信息有误或与招标文件不一致须发补遗通知修改，导致项目延期、暂停、重新招标。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kern w:val="0"/>
                <w:sz w:val="24"/>
                <w:szCs w:val="24"/>
              </w:rPr>
              <w:t>发布的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招标信息</w:t>
            </w:r>
            <w:r>
              <w:rPr>
                <w:rFonts w:hint="eastAsia" w:ascii="仿宋_GB2312" w:hAnsi="Arial" w:eastAsia="仿宋_GB2312" w:cs="仿宋_GB2312"/>
                <w:bCs/>
                <w:kern w:val="0"/>
                <w:sz w:val="24"/>
                <w:szCs w:val="24"/>
              </w:rPr>
              <w:t>中含有违反相关法律法规，须撤回或后台修改。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kern w:val="0"/>
                <w:sz w:val="24"/>
                <w:szCs w:val="24"/>
              </w:rPr>
              <w:t>发布的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招标信息</w:t>
            </w:r>
            <w:r>
              <w:rPr>
                <w:rFonts w:hint="eastAsia" w:ascii="仿宋_GB2312" w:eastAsia="仿宋_GB2312"/>
                <w:sz w:val="24"/>
                <w:szCs w:val="24"/>
              </w:rPr>
              <w:t>存在错别字被监测通报。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代理人员操作不当导致设备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等公共财产损失、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损坏。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代理人员在专家抽取过程中，因操作失误，导致项目延期、暂停、重新招标。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代理人员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没有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在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招标文件约定的开标时间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前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30分钟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到场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至投标截止时间仍未使用数字证书进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入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系统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开标解密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代理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机构派出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开展开标、评标、定标业务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的人员，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与本公司没有劳动合同关系或没有社保证明，代理项目负责人没到场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代理人员未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按要求遵守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现场秩序，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携带通讯工具进入评标区域或擅自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离开代理工作室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因编制的招标文件错漏或前后条款矛盾导致招标失败。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 xml:space="preserve">标段信息、解密时间、资格审查条件等设置有误，须系统后台进行修改。 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代理人员在开标、评标、定标过程中工作流程不符合有关规定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，或系统操作不熟悉，又不提前与交易中心沟通协调的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未告知回避要求、需回避名单，导致应回避的评标专家未进行回避。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向评标委员会提供的招标文件与发布或备案的文件不一致。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评标过程向评审委员会发表带有倾向性的信息，干扰专家独立评审的。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eastAsia="zh-CN"/>
              </w:rPr>
              <w:t>不按有关规定向评标专家支付评标评审劳务费，或评标活动未结束，擅自与评标专家商讨评标费用。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因评标报告等有关资料有误（如漏签名、缺页等），须召回专家进行修正或复审。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中标公示内容有误或未按规定上传、公示有关资料，导致后期必须修正、补充。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代理人员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未在规定时限内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按规定保存交易活动中行程的资料</w:t>
            </w:r>
            <w:r>
              <w:rPr>
                <w:rFonts w:hint="eastAsia" w:ascii="仿宋_GB2312" w:eastAsia="仿宋_GB2312"/>
                <w:sz w:val="24"/>
                <w:szCs w:val="24"/>
              </w:rPr>
              <w:t>或填报相关情况说明。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未提供项目评审所需资料附件（如图纸、工程量清单等）以致评标委员会无法客观公正评审项目）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擅自安装、改动信息化设备硬件或软件，擅自修改信息化设备的配置信息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未经允许，代理机构工作人员查询、记录、复制或带走交易中心存档资料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代理人员不遵守评标区管理规定。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代理人员不遵守有关防疫规定。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Arial" w:eastAsia="仿宋_GB2312" w:cs="仿宋_GB2312"/>
                <w:bCs/>
                <w:sz w:val="24"/>
                <w:szCs w:val="24"/>
              </w:rPr>
              <w:t>其他负面行为。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hAnsi="Arial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eastAsia="宋体"/>
          <w:sz w:val="28"/>
          <w:szCs w:val="28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space"/>
      <w:lvlText w:val="第%1条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DAxM2MyYTc2NWJiM2M0ZGViMzljYTlhMjdiYjkifQ=="/>
  </w:docVars>
  <w:rsids>
    <w:rsidRoot w:val="00000000"/>
    <w:rsid w:val="00847750"/>
    <w:rsid w:val="0F1A23E5"/>
    <w:rsid w:val="15CC3092"/>
    <w:rsid w:val="183F0D66"/>
    <w:rsid w:val="1F965E8C"/>
    <w:rsid w:val="293A6F25"/>
    <w:rsid w:val="2E40304D"/>
    <w:rsid w:val="39821665"/>
    <w:rsid w:val="3D684837"/>
    <w:rsid w:val="3F755D95"/>
    <w:rsid w:val="473A34B7"/>
    <w:rsid w:val="4AA64873"/>
    <w:rsid w:val="4DCB6224"/>
    <w:rsid w:val="5A4C2393"/>
    <w:rsid w:val="5BCF3E19"/>
    <w:rsid w:val="5C110BF9"/>
    <w:rsid w:val="65FD3EA6"/>
    <w:rsid w:val="71796C2F"/>
    <w:rsid w:val="74A40498"/>
    <w:rsid w:val="7BB93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2477</Words>
  <Characters>2492</Characters>
  <Lines>0</Lines>
  <Paragraphs>0</Paragraphs>
  <TotalTime>2</TotalTime>
  <ScaleCrop>false</ScaleCrop>
  <LinksUpToDate>false</LinksUpToDate>
  <CharactersWithSpaces>2504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2022-05-03T01:32:00Z</dcterms:created>
  <dc:creator>Administrator</dc:creator>
  <cp:lastModifiedBy>云</cp:lastModifiedBy>
  <cp:lastPrinted>2022-10-26T03:29:00Z</cp:lastPrinted>
  <dcterms:modified xsi:type="dcterms:W3CDTF">2022-11-02T09:25:12Z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1DE3487EB84E48228D246BBCFBAB3275</vt:lpwstr>
  </property>
</Properties>
</file>