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84"/>
          <w:szCs w:val="84"/>
        </w:rPr>
      </w:pPr>
      <w:bookmarkStart w:id="0" w:name="_Toc324495520"/>
    </w:p>
    <w:p>
      <w:pPr>
        <w:jc w:val="center"/>
        <w:rPr>
          <w:rFonts w:ascii="黑体" w:hAnsi="黑体" w:eastAsia="黑体"/>
          <w:b/>
          <w:sz w:val="52"/>
          <w:szCs w:val="52"/>
        </w:rPr>
      </w:pPr>
      <w:r>
        <w:rPr>
          <w:rFonts w:hint="eastAsia" w:ascii="黑体" w:hAnsi="黑体" w:eastAsia="黑体"/>
          <w:b/>
          <w:sz w:val="52"/>
          <w:szCs w:val="52"/>
        </w:rPr>
        <w:t>潮州市公共资源交易中心</w:t>
      </w:r>
    </w:p>
    <w:p>
      <w:pPr>
        <w:jc w:val="center"/>
        <w:rPr>
          <w:rFonts w:hint="eastAsia" w:ascii="黑体" w:hAnsi="黑体" w:eastAsia="黑体"/>
          <w:b/>
          <w:sz w:val="52"/>
          <w:szCs w:val="52"/>
        </w:rPr>
      </w:pPr>
    </w:p>
    <w:p>
      <w:pPr>
        <w:jc w:val="center"/>
        <w:rPr>
          <w:rFonts w:hint="default" w:ascii="黑体" w:hAnsi="黑体" w:eastAsia="黑体"/>
          <w:b/>
          <w:sz w:val="52"/>
          <w:szCs w:val="52"/>
          <w:lang w:val="en-US" w:eastAsia="zh-CN"/>
        </w:rPr>
      </w:pPr>
      <w:r>
        <w:rPr>
          <w:rFonts w:hint="eastAsia" w:ascii="黑体" w:hAnsi="黑体" w:eastAsia="黑体"/>
          <w:b/>
          <w:sz w:val="52"/>
          <w:szCs w:val="52"/>
        </w:rPr>
        <w:t>建设工程交易业务</w:t>
      </w:r>
      <w:r>
        <w:rPr>
          <w:rFonts w:hint="eastAsia" w:ascii="黑体" w:hAnsi="黑体" w:eastAsia="黑体"/>
          <w:b/>
          <w:sz w:val="52"/>
          <w:szCs w:val="52"/>
          <w:lang w:val="en-US" w:eastAsia="zh-CN"/>
        </w:rPr>
        <w:t>工作规范</w:t>
      </w:r>
    </w:p>
    <w:p>
      <w:pPr>
        <w:jc w:val="center"/>
        <w:rPr>
          <w:rFonts w:hint="eastAsia" w:ascii="黑体" w:hAnsi="黑体" w:eastAsia="黑体"/>
          <w:b/>
          <w:sz w:val="52"/>
          <w:szCs w:val="52"/>
        </w:rPr>
      </w:pPr>
    </w:p>
    <w:p>
      <w:pPr>
        <w:jc w:val="center"/>
        <w:rPr>
          <w:rFonts w:hint="eastAsia" w:ascii="黑体" w:hAnsi="黑体" w:eastAsia="黑体"/>
          <w:b/>
          <w:sz w:val="52"/>
          <w:szCs w:val="52"/>
        </w:rPr>
      </w:pPr>
      <w:r>
        <w:rPr>
          <w:rFonts w:hint="eastAsia" w:ascii="黑体" w:hAnsi="黑体" w:eastAsia="黑体"/>
          <w:b/>
          <w:sz w:val="52"/>
          <w:szCs w:val="52"/>
        </w:rPr>
        <w:t>（试行）</w:t>
      </w:r>
    </w:p>
    <w:p>
      <w:pPr>
        <w:jc w:val="center"/>
        <w:rPr>
          <w:rFonts w:hint="eastAsia" w:ascii="黑体" w:hAnsi="黑体" w:eastAsia="黑体"/>
          <w:b/>
          <w:sz w:val="52"/>
          <w:szCs w:val="52"/>
        </w:rPr>
      </w:pPr>
    </w:p>
    <w:p>
      <w:pPr>
        <w:jc w:val="center"/>
        <w:rPr>
          <w:rFonts w:hint="eastAsia" w:ascii="黑体" w:hAnsi="黑体" w:eastAsia="黑体"/>
          <w:b/>
          <w:sz w:val="52"/>
          <w:szCs w:val="52"/>
        </w:rPr>
      </w:pPr>
    </w:p>
    <w:p>
      <w:pPr>
        <w:jc w:val="center"/>
        <w:rPr>
          <w:rFonts w:hint="eastAsia" w:ascii="黑体" w:hAnsi="黑体" w:eastAsia="黑体"/>
          <w:b/>
          <w:sz w:val="52"/>
          <w:szCs w:val="52"/>
        </w:rPr>
      </w:pPr>
    </w:p>
    <w:p>
      <w:pPr>
        <w:jc w:val="center"/>
        <w:rPr>
          <w:rFonts w:hint="eastAsia" w:ascii="黑体" w:hAnsi="黑体" w:eastAsia="黑体"/>
          <w:b/>
          <w:sz w:val="52"/>
          <w:szCs w:val="52"/>
        </w:rPr>
      </w:pPr>
    </w:p>
    <w:p>
      <w:pPr>
        <w:jc w:val="center"/>
        <w:rPr>
          <w:rFonts w:hint="eastAsia" w:ascii="黑体" w:hAnsi="黑体" w:eastAsia="黑体"/>
          <w:b/>
          <w:sz w:val="52"/>
          <w:szCs w:val="52"/>
        </w:rPr>
      </w:pPr>
    </w:p>
    <w:p>
      <w:pPr>
        <w:jc w:val="center"/>
        <w:rPr>
          <w:rFonts w:hint="eastAsia" w:ascii="黑体" w:hAnsi="黑体" w:eastAsia="黑体"/>
          <w:b/>
          <w:sz w:val="52"/>
          <w:szCs w:val="52"/>
        </w:rPr>
      </w:pPr>
    </w:p>
    <w:p>
      <w:pPr>
        <w:spacing w:line="360" w:lineRule="auto"/>
        <w:jc w:val="center"/>
        <w:rPr>
          <w:rFonts w:hint="eastAsia" w:ascii="隶书" w:hAnsi="宋体" w:eastAsia="隶书"/>
          <w:kern w:val="0"/>
          <w:sz w:val="44"/>
          <w:szCs w:val="44"/>
        </w:rPr>
      </w:pPr>
      <w:r>
        <w:rPr>
          <w:rFonts w:hint="eastAsia" w:ascii="隶书" w:hAnsi="宋体" w:eastAsia="隶书"/>
          <w:kern w:val="0"/>
          <w:sz w:val="44"/>
          <w:szCs w:val="44"/>
        </w:rPr>
        <w:t>潮州市公共资源交易中心编制</w:t>
      </w:r>
    </w:p>
    <w:p>
      <w:pPr>
        <w:spacing w:line="360" w:lineRule="auto"/>
        <w:rPr>
          <w:rFonts w:hint="eastAsia" w:ascii="隶书" w:eastAsia="隶书"/>
          <w:sz w:val="32"/>
          <w:szCs w:val="32"/>
        </w:rPr>
      </w:pPr>
    </w:p>
    <w:p>
      <w:pPr>
        <w:rPr>
          <w:rFonts w:hint="eastAsia"/>
        </w:rPr>
      </w:pPr>
    </w:p>
    <w:p>
      <w:pPr>
        <w:rPr>
          <w:rFonts w:hint="eastAsia" w:ascii="宋体" w:hAnsi="宋体"/>
          <w:kern w:val="0"/>
          <w:sz w:val="24"/>
        </w:rPr>
      </w:pPr>
    </w:p>
    <w:p>
      <w:pPr>
        <w:rPr>
          <w:rFonts w:hint="eastAsia" w:ascii="宋体" w:hAnsi="宋体"/>
          <w:kern w:val="0"/>
          <w:sz w:val="24"/>
        </w:rPr>
      </w:pPr>
    </w:p>
    <w:p>
      <w:pPr>
        <w:rPr>
          <w:rFonts w:hint="eastAsia"/>
        </w:rPr>
      </w:pPr>
    </w:p>
    <w:p>
      <w:pPr>
        <w:rPr>
          <w:rFonts w:hint="eastAsia"/>
        </w:rPr>
      </w:pPr>
    </w:p>
    <w:p>
      <w:pPr>
        <w:pStyle w:val="2"/>
        <w:numPr>
          <w:ilvl w:val="0"/>
          <w:numId w:val="0"/>
        </w:numPr>
        <w:spacing w:before="240" w:after="240" w:line="360" w:lineRule="auto"/>
        <w:jc w:val="center"/>
        <w:rPr>
          <w:rFonts w:hint="eastAsia" w:ascii="宋体" w:hAnsi="宋体"/>
          <w:b w:val="0"/>
          <w:sz w:val="32"/>
          <w:szCs w:val="32"/>
        </w:rPr>
      </w:pPr>
      <w:r>
        <w:rPr>
          <w:rFonts w:hint="eastAsia" w:ascii="宋体" w:hAnsi="宋体"/>
          <w:kern w:val="0"/>
          <w:sz w:val="32"/>
          <w:szCs w:val="32"/>
        </w:rPr>
        <w:t>1 总  则</w:t>
      </w:r>
      <w:bookmarkEnd w:id="0"/>
    </w:p>
    <w:p>
      <w:pPr>
        <w:spacing w:line="360" w:lineRule="auto"/>
        <w:rPr>
          <w:rFonts w:hint="eastAsia" w:ascii="宋体" w:hAnsi="宋体"/>
          <w:sz w:val="24"/>
        </w:rPr>
      </w:pPr>
      <w:r>
        <w:rPr>
          <w:rFonts w:hint="eastAsia" w:ascii="宋体" w:hAnsi="宋体"/>
          <w:b/>
          <w:sz w:val="24"/>
        </w:rPr>
        <w:t>1.0.1</w:t>
      </w:r>
      <w:r>
        <w:rPr>
          <w:rFonts w:hint="eastAsia" w:ascii="宋体" w:hAnsi="宋体"/>
          <w:sz w:val="24"/>
        </w:rPr>
        <w:t>为规范建设工程交易秩序，建立公开、公平、公正的竞争环境和高效、规范、有序的运行机制，提高服务水平，加强监督管理，依据《中华人民共和国招标投标法》、《中华人民共和国招标投标法实施条例》、《电子招标投标办法》等法律、法规和本市相关规定，制定本规程。</w:t>
      </w:r>
    </w:p>
    <w:p>
      <w:pPr>
        <w:spacing w:line="360" w:lineRule="auto"/>
        <w:rPr>
          <w:rFonts w:hint="eastAsia" w:ascii="宋体" w:hAnsi="宋体"/>
          <w:sz w:val="24"/>
        </w:rPr>
      </w:pPr>
      <w:r>
        <w:rPr>
          <w:rFonts w:hint="eastAsia" w:ascii="宋体" w:hAnsi="宋体"/>
          <w:b/>
          <w:sz w:val="24"/>
        </w:rPr>
        <w:t xml:space="preserve">1.0.2 </w:t>
      </w:r>
      <w:r>
        <w:rPr>
          <w:rFonts w:hint="eastAsia" w:ascii="宋体" w:hAnsi="宋体"/>
          <w:sz w:val="24"/>
        </w:rPr>
        <w:t>本规程适用于在潮州市公共资源交易中心采用公开招标、资格后审方式进行交易的建设工程。</w:t>
      </w:r>
    </w:p>
    <w:p>
      <w:pPr>
        <w:spacing w:line="360" w:lineRule="auto"/>
        <w:rPr>
          <w:rFonts w:hint="eastAsia" w:ascii="宋体" w:hAnsi="宋体"/>
          <w:sz w:val="24"/>
        </w:rPr>
      </w:pPr>
      <w:r>
        <w:rPr>
          <w:rFonts w:hint="eastAsia" w:ascii="宋体" w:hAnsi="宋体"/>
          <w:b/>
          <w:sz w:val="24"/>
        </w:rPr>
        <w:t>1.0.3</w:t>
      </w:r>
      <w:r>
        <w:rPr>
          <w:rFonts w:hint="eastAsia" w:ascii="宋体" w:hAnsi="宋体"/>
          <w:sz w:val="24"/>
        </w:rPr>
        <w:t>潮州市公共资源交易中心的工作人员，从事建设工程交易服务管理时，应执行本规程。</w:t>
      </w:r>
    </w:p>
    <w:p>
      <w:pPr>
        <w:spacing w:line="360" w:lineRule="auto"/>
        <w:rPr>
          <w:rFonts w:hint="eastAsia" w:ascii="宋体" w:hAnsi="宋体"/>
          <w:sz w:val="24"/>
        </w:rPr>
      </w:pPr>
      <w:r>
        <w:rPr>
          <w:rFonts w:hint="eastAsia" w:ascii="宋体" w:hAnsi="宋体"/>
          <w:b/>
          <w:sz w:val="24"/>
        </w:rPr>
        <w:t>1.0.4</w:t>
      </w:r>
      <w:r>
        <w:rPr>
          <w:rFonts w:hint="eastAsia" w:ascii="宋体" w:hAnsi="宋体"/>
          <w:sz w:val="24"/>
        </w:rPr>
        <w:t>从事建设工程项目交易活动管理的工作人员，除执行本规程外，还应执行国家现行有关法律法规的规定。</w:t>
      </w:r>
      <w:bookmarkStart w:id="1" w:name="_Toc324495521"/>
      <w:bookmarkStart w:id="2" w:name="_Toc322030616"/>
    </w:p>
    <w:p>
      <w:pPr>
        <w:spacing w:line="360" w:lineRule="auto"/>
        <w:rPr>
          <w:rFonts w:hint="eastAsia" w:ascii="宋体" w:hAnsi="宋体"/>
          <w:sz w:val="24"/>
        </w:rPr>
      </w:pPr>
    </w:p>
    <w:p>
      <w:pPr>
        <w:spacing w:line="360" w:lineRule="auto"/>
        <w:rPr>
          <w:rFonts w:hint="eastAsia" w:ascii="宋体" w:hAnsi="宋体"/>
          <w:sz w:val="24"/>
        </w:rPr>
      </w:pPr>
    </w:p>
    <w:p>
      <w:pPr>
        <w:rPr>
          <w:rFonts w:hint="eastAsia" w:ascii="宋体" w:hAnsi="宋体"/>
          <w:sz w:val="24"/>
        </w:rPr>
      </w:pPr>
    </w:p>
    <w:p>
      <w:pPr>
        <w:rPr>
          <w:rFonts w:hint="eastAsia" w:ascii="宋体" w:hAnsi="宋体"/>
          <w:sz w:val="24"/>
        </w:rPr>
      </w:pPr>
    </w:p>
    <w:p>
      <w:pPr>
        <w:rPr>
          <w:rFonts w:hint="eastAsia" w:ascii="宋体" w:hAnsi="宋体"/>
          <w:sz w:val="24"/>
        </w:rPr>
      </w:pPr>
    </w:p>
    <w:p>
      <w:pPr>
        <w:rPr>
          <w:rFonts w:hint="eastAsia" w:ascii="宋体" w:hAnsi="宋体"/>
          <w:sz w:val="24"/>
        </w:rPr>
      </w:pPr>
    </w:p>
    <w:p>
      <w:pPr>
        <w:rPr>
          <w:rFonts w:hint="eastAsia" w:ascii="宋体" w:hAnsi="宋体"/>
          <w:sz w:val="24"/>
        </w:rPr>
      </w:pPr>
    </w:p>
    <w:p>
      <w:pPr>
        <w:pStyle w:val="2"/>
        <w:numPr>
          <w:ilvl w:val="0"/>
          <w:numId w:val="0"/>
        </w:numPr>
        <w:spacing w:before="240" w:after="240" w:line="360" w:lineRule="auto"/>
        <w:jc w:val="center"/>
        <w:rPr>
          <w:rFonts w:hint="eastAsia" w:ascii="宋体" w:hAnsi="宋体"/>
          <w:sz w:val="24"/>
          <w:szCs w:val="24"/>
        </w:rPr>
      </w:pPr>
    </w:p>
    <w:p>
      <w:pPr>
        <w:pStyle w:val="2"/>
        <w:numPr>
          <w:ilvl w:val="0"/>
          <w:numId w:val="0"/>
        </w:numPr>
        <w:spacing w:before="240" w:after="240" w:line="360" w:lineRule="auto"/>
        <w:jc w:val="center"/>
        <w:rPr>
          <w:rFonts w:hint="eastAsia" w:ascii="宋体" w:hAnsi="宋体"/>
          <w:sz w:val="24"/>
          <w:szCs w:val="24"/>
        </w:rPr>
      </w:pPr>
    </w:p>
    <w:p>
      <w:pPr>
        <w:rPr>
          <w:rFonts w:hint="eastAsia" w:ascii="宋体" w:hAnsi="宋体"/>
          <w:sz w:val="24"/>
        </w:rPr>
      </w:pPr>
    </w:p>
    <w:p>
      <w:pPr>
        <w:rPr>
          <w:rFonts w:hint="eastAsia" w:ascii="宋体" w:hAnsi="宋体"/>
          <w:sz w:val="24"/>
        </w:rPr>
      </w:pPr>
    </w:p>
    <w:p>
      <w:pPr>
        <w:rPr>
          <w:rFonts w:hint="eastAsia" w:ascii="宋体" w:hAnsi="宋体"/>
          <w:sz w:val="24"/>
        </w:rPr>
      </w:pPr>
    </w:p>
    <w:p>
      <w:pPr>
        <w:pStyle w:val="2"/>
        <w:numPr>
          <w:ilvl w:val="0"/>
          <w:numId w:val="0"/>
        </w:numPr>
        <w:spacing w:before="240" w:after="240" w:line="360" w:lineRule="auto"/>
        <w:jc w:val="center"/>
        <w:rPr>
          <w:rFonts w:hint="eastAsia" w:ascii="宋体" w:hAnsi="宋体"/>
          <w:kern w:val="0"/>
          <w:sz w:val="24"/>
          <w:szCs w:val="24"/>
        </w:rPr>
      </w:pPr>
    </w:p>
    <w:p>
      <w:pPr>
        <w:rPr>
          <w:rFonts w:hint="eastAsia" w:ascii="宋体" w:hAnsi="宋体"/>
          <w:kern w:val="0"/>
          <w:sz w:val="24"/>
          <w:szCs w:val="24"/>
        </w:rPr>
      </w:pPr>
    </w:p>
    <w:p>
      <w:pPr>
        <w:rPr>
          <w:rFonts w:hint="eastAsia" w:ascii="宋体" w:hAnsi="宋体"/>
          <w:kern w:val="0"/>
          <w:sz w:val="24"/>
          <w:szCs w:val="24"/>
        </w:rPr>
      </w:pPr>
    </w:p>
    <w:p>
      <w:pPr>
        <w:rPr>
          <w:rFonts w:hint="eastAsia" w:ascii="宋体" w:hAnsi="宋体"/>
          <w:kern w:val="0"/>
          <w:sz w:val="24"/>
          <w:szCs w:val="24"/>
        </w:rPr>
      </w:pPr>
    </w:p>
    <w:p>
      <w:pPr>
        <w:rPr>
          <w:rFonts w:hint="eastAsia" w:ascii="宋体" w:hAnsi="宋体"/>
          <w:kern w:val="0"/>
          <w:sz w:val="24"/>
          <w:szCs w:val="24"/>
        </w:rPr>
      </w:pPr>
    </w:p>
    <w:p>
      <w:pPr>
        <w:rPr>
          <w:rFonts w:hint="eastAsia" w:ascii="宋体" w:hAnsi="宋体"/>
          <w:kern w:val="0"/>
          <w:sz w:val="24"/>
          <w:szCs w:val="24"/>
        </w:rPr>
      </w:pPr>
    </w:p>
    <w:p>
      <w:pPr>
        <w:rPr>
          <w:rFonts w:hint="eastAsia" w:ascii="宋体" w:hAnsi="宋体"/>
          <w:kern w:val="0"/>
          <w:sz w:val="24"/>
          <w:szCs w:val="24"/>
        </w:rPr>
      </w:pPr>
    </w:p>
    <w:p>
      <w:pPr>
        <w:rPr>
          <w:rFonts w:hint="eastAsia" w:ascii="宋体" w:hAnsi="宋体"/>
          <w:kern w:val="0"/>
          <w:sz w:val="24"/>
          <w:szCs w:val="24"/>
        </w:rPr>
      </w:pPr>
    </w:p>
    <w:p>
      <w:pPr>
        <w:rPr>
          <w:rFonts w:hint="eastAsia" w:ascii="宋体" w:hAnsi="宋体"/>
          <w:kern w:val="0"/>
          <w:sz w:val="24"/>
          <w:szCs w:val="24"/>
        </w:rPr>
      </w:pPr>
    </w:p>
    <w:p>
      <w:pPr>
        <w:rPr>
          <w:rFonts w:hint="eastAsia" w:ascii="宋体" w:hAnsi="宋体"/>
          <w:kern w:val="0"/>
          <w:sz w:val="24"/>
          <w:szCs w:val="24"/>
        </w:rPr>
      </w:pPr>
    </w:p>
    <w:p>
      <w:pPr>
        <w:rPr>
          <w:rFonts w:hint="eastAsia" w:ascii="宋体" w:hAnsi="宋体"/>
          <w:kern w:val="0"/>
          <w:sz w:val="24"/>
          <w:szCs w:val="24"/>
        </w:rPr>
      </w:pPr>
    </w:p>
    <w:p>
      <w:pPr>
        <w:rPr>
          <w:rFonts w:hint="eastAsia"/>
        </w:rPr>
      </w:pPr>
    </w:p>
    <w:p>
      <w:pPr>
        <w:rPr>
          <w:rFonts w:hint="eastAsia"/>
        </w:rPr>
      </w:pPr>
    </w:p>
    <w:bookmarkEnd w:id="1"/>
    <w:bookmarkEnd w:id="2"/>
    <w:p>
      <w:pPr>
        <w:pStyle w:val="2"/>
        <w:numPr>
          <w:ilvl w:val="0"/>
          <w:numId w:val="0"/>
        </w:numPr>
        <w:spacing w:before="240" w:after="240" w:line="360" w:lineRule="auto"/>
        <w:jc w:val="center"/>
        <w:rPr>
          <w:rFonts w:hint="default" w:ascii="宋体" w:hAnsi="宋体" w:eastAsia="宋体"/>
          <w:kern w:val="0"/>
          <w:sz w:val="32"/>
          <w:szCs w:val="32"/>
          <w:lang w:val="en-US" w:eastAsia="zh-CN"/>
        </w:rPr>
      </w:pPr>
      <w:bookmarkStart w:id="3" w:name="_Toc324173308"/>
      <w:bookmarkStart w:id="4" w:name="_Toc322030618"/>
      <w:bookmarkStart w:id="5" w:name="_Toc324495522"/>
      <w:bookmarkStart w:id="6" w:name="_Toc307405968"/>
      <w:r>
        <w:rPr>
          <w:rFonts w:hint="eastAsia" w:ascii="宋体" w:hAnsi="宋体"/>
          <w:kern w:val="0"/>
          <w:sz w:val="32"/>
          <w:szCs w:val="32"/>
        </w:rPr>
        <w:t xml:space="preserve">2 </w:t>
      </w:r>
      <w:bookmarkEnd w:id="3"/>
      <w:bookmarkEnd w:id="4"/>
      <w:bookmarkEnd w:id="5"/>
      <w:r>
        <w:rPr>
          <w:rFonts w:hint="eastAsia" w:ascii="宋体" w:hAnsi="宋体"/>
          <w:kern w:val="0"/>
          <w:sz w:val="32"/>
          <w:szCs w:val="32"/>
          <w:lang w:val="en-US" w:eastAsia="zh-CN"/>
        </w:rPr>
        <w:t>工作规范</w:t>
      </w:r>
      <w:bookmarkStart w:id="19" w:name="_GoBack"/>
      <w:bookmarkEnd w:id="19"/>
    </w:p>
    <w:p>
      <w:pPr>
        <w:ind w:firstLine="236" w:firstLineChars="98"/>
        <w:outlineLvl w:val="2"/>
        <w:rPr>
          <w:rFonts w:hint="eastAsia" w:ascii="宋体" w:hAnsi="宋体"/>
          <w:b/>
          <w:sz w:val="24"/>
        </w:rPr>
      </w:pPr>
      <w:bookmarkStart w:id="7" w:name="_Toc324495524"/>
      <w:bookmarkStart w:id="8" w:name="_Toc324173310"/>
      <w:r>
        <w:rPr>
          <w:rFonts w:hint="eastAsia" w:ascii="宋体" w:hAnsi="宋体"/>
          <w:b/>
          <w:sz w:val="24"/>
        </w:rPr>
        <w:t>2.1 交易申请</w:t>
      </w:r>
      <w:bookmarkEnd w:id="7"/>
      <w:bookmarkEnd w:id="8"/>
    </w:p>
    <w:p>
      <w:pPr>
        <w:spacing w:line="360" w:lineRule="auto"/>
        <w:ind w:firstLine="240" w:firstLineChars="100"/>
        <w:rPr>
          <w:rFonts w:hint="eastAsia" w:ascii="宋体" w:hAnsi="宋体"/>
          <w:sz w:val="24"/>
        </w:rPr>
      </w:pPr>
      <w:r>
        <w:rPr>
          <w:rFonts w:hint="eastAsia" w:ascii="宋体" w:hAnsi="宋体"/>
          <w:sz w:val="24"/>
        </w:rPr>
        <w:t>2.1.1接收、核对招标人（本规程未特别说明处，涵括招标单位和招标代理机构）提交的招标项目资料，资料齐全的，登记项目资料，办理接收手续，指引招标人填写并提交《招标登记表》，签署意见后提交给相关负责人</w:t>
      </w:r>
      <w:r>
        <w:rPr>
          <w:rFonts w:hint="eastAsia" w:ascii="宋体" w:hAnsi="宋体"/>
          <w:sz w:val="24"/>
          <w:lang w:val="en-US" w:eastAsia="zh-CN"/>
        </w:rPr>
        <w:t>核对</w:t>
      </w:r>
      <w:r>
        <w:rPr>
          <w:rFonts w:hint="eastAsia" w:ascii="宋体" w:hAnsi="宋体"/>
          <w:sz w:val="24"/>
        </w:rPr>
        <w:t>。资料不全的，不予受理，并向招标人一次性告知补充内容。核对的资料在下列资料的基础上根据项目的类别不同作出相应调整。</w:t>
      </w:r>
    </w:p>
    <w:p>
      <w:pPr>
        <w:spacing w:line="360" w:lineRule="auto"/>
        <w:ind w:firstLine="480" w:firstLineChars="200"/>
        <w:rPr>
          <w:rFonts w:hint="eastAsia"/>
          <w:color w:val="auto"/>
          <w:sz w:val="24"/>
          <w:lang w:val="en-US" w:eastAsia="zh-CN"/>
        </w:rPr>
      </w:pPr>
      <w:r>
        <w:rPr>
          <w:rFonts w:hint="eastAsia"/>
          <w:color w:val="auto"/>
          <w:sz w:val="24"/>
          <w:lang w:val="en-US" w:eastAsia="zh-CN"/>
        </w:rPr>
        <w:t>1）立项、核准文件或投资备案文件；</w:t>
      </w:r>
    </w:p>
    <w:p>
      <w:pPr>
        <w:spacing w:line="360" w:lineRule="auto"/>
        <w:ind w:firstLine="480" w:firstLineChars="200"/>
        <w:rPr>
          <w:rFonts w:hint="eastAsia"/>
          <w:color w:val="auto"/>
          <w:sz w:val="24"/>
          <w:lang w:val="en-US" w:eastAsia="zh-CN"/>
        </w:rPr>
      </w:pPr>
      <w:r>
        <w:rPr>
          <w:rFonts w:hint="eastAsia"/>
          <w:color w:val="auto"/>
          <w:sz w:val="24"/>
          <w:lang w:val="en-US" w:eastAsia="zh-CN"/>
        </w:rPr>
        <w:t>2）资金来源已落实证明文件；</w:t>
      </w:r>
    </w:p>
    <w:p>
      <w:pPr>
        <w:spacing w:line="360" w:lineRule="auto"/>
        <w:ind w:firstLine="480" w:firstLineChars="200"/>
        <w:rPr>
          <w:rFonts w:hint="eastAsia"/>
          <w:color w:val="auto"/>
          <w:sz w:val="24"/>
          <w:lang w:val="en-US" w:eastAsia="zh-CN"/>
        </w:rPr>
      </w:pPr>
      <w:r>
        <w:rPr>
          <w:rFonts w:hint="eastAsia"/>
          <w:color w:val="auto"/>
          <w:sz w:val="24"/>
          <w:lang w:val="en-US" w:eastAsia="zh-CN"/>
        </w:rPr>
        <w:t>3）拟发布项目招标计划（提供招标计划表及广东省招标投标监管网网页截图）；</w:t>
      </w:r>
    </w:p>
    <w:p>
      <w:pPr>
        <w:spacing w:line="360" w:lineRule="auto"/>
        <w:ind w:firstLine="480" w:firstLineChars="200"/>
        <w:rPr>
          <w:rFonts w:hint="eastAsia"/>
          <w:color w:val="auto"/>
          <w:sz w:val="24"/>
          <w:lang w:val="en-US" w:eastAsia="zh-CN"/>
        </w:rPr>
      </w:pPr>
      <w:r>
        <w:rPr>
          <w:rFonts w:hint="eastAsia"/>
          <w:color w:val="auto"/>
          <w:sz w:val="24"/>
          <w:lang w:val="en-US" w:eastAsia="zh-CN"/>
        </w:rPr>
        <w:t>4）招标公告；</w:t>
      </w:r>
    </w:p>
    <w:p>
      <w:pPr>
        <w:spacing w:line="360" w:lineRule="auto"/>
        <w:ind w:firstLine="480" w:firstLineChars="200"/>
        <w:rPr>
          <w:rFonts w:hint="eastAsia"/>
          <w:color w:val="auto"/>
          <w:sz w:val="24"/>
          <w:lang w:val="en-US" w:eastAsia="zh-CN"/>
        </w:rPr>
      </w:pPr>
      <w:r>
        <w:rPr>
          <w:rFonts w:hint="eastAsia"/>
          <w:color w:val="auto"/>
          <w:sz w:val="24"/>
          <w:lang w:val="en-US" w:eastAsia="zh-CN"/>
        </w:rPr>
        <w:t>5）招标文件；</w:t>
      </w:r>
    </w:p>
    <w:p>
      <w:pPr>
        <w:spacing w:line="360" w:lineRule="auto"/>
        <w:ind w:firstLine="480" w:firstLineChars="200"/>
        <w:rPr>
          <w:rFonts w:hint="eastAsia"/>
          <w:color w:val="auto"/>
          <w:sz w:val="24"/>
          <w:lang w:val="en-US" w:eastAsia="zh-CN"/>
        </w:rPr>
      </w:pPr>
      <w:r>
        <w:rPr>
          <w:rFonts w:hint="eastAsia"/>
          <w:color w:val="auto"/>
          <w:sz w:val="24"/>
          <w:lang w:val="en-US" w:eastAsia="zh-CN"/>
        </w:rPr>
        <w:t>6）建设单位营业执照、组织机构代码证或事业单位法定代表人证明书；</w:t>
      </w:r>
    </w:p>
    <w:p>
      <w:pPr>
        <w:spacing w:line="360" w:lineRule="auto"/>
        <w:ind w:firstLine="480" w:firstLineChars="200"/>
        <w:rPr>
          <w:rFonts w:hint="eastAsia"/>
          <w:color w:val="auto"/>
          <w:sz w:val="24"/>
          <w:lang w:val="en-US" w:eastAsia="zh-CN"/>
        </w:rPr>
      </w:pPr>
      <w:r>
        <w:rPr>
          <w:rFonts w:hint="eastAsia"/>
          <w:color w:val="auto"/>
          <w:sz w:val="24"/>
          <w:lang w:val="en-US" w:eastAsia="zh-CN"/>
        </w:rPr>
        <w:t>7）建设单位法人身份证复印件、委托项目经办人证明、被委托人身份证复印件;</w:t>
      </w:r>
    </w:p>
    <w:p>
      <w:pPr>
        <w:spacing w:line="360" w:lineRule="auto"/>
        <w:ind w:firstLine="480" w:firstLineChars="200"/>
        <w:rPr>
          <w:rFonts w:hint="eastAsia"/>
          <w:color w:val="auto"/>
          <w:sz w:val="24"/>
          <w:lang w:val="en-US" w:eastAsia="zh-CN"/>
        </w:rPr>
      </w:pPr>
      <w:r>
        <w:rPr>
          <w:rFonts w:hint="eastAsia"/>
          <w:color w:val="auto"/>
          <w:sz w:val="24"/>
          <w:lang w:val="en-US" w:eastAsia="zh-CN"/>
        </w:rPr>
        <w:t>8）招标代理合同和代理机构营业执照，法人身份证复印件；招标代理机构项目负责人授权委托书、身份证复印件和社保机构签发的近三个月社保缴纳记录；</w:t>
      </w:r>
    </w:p>
    <w:p>
      <w:pPr>
        <w:spacing w:line="360" w:lineRule="auto"/>
        <w:ind w:firstLine="480" w:firstLineChars="200"/>
        <w:rPr>
          <w:rFonts w:hint="eastAsia"/>
          <w:color w:val="auto"/>
          <w:sz w:val="24"/>
          <w:lang w:val="en-US" w:eastAsia="zh-CN"/>
        </w:rPr>
      </w:pPr>
      <w:r>
        <w:rPr>
          <w:rFonts w:hint="eastAsia"/>
          <w:color w:val="auto"/>
          <w:sz w:val="24"/>
          <w:lang w:val="en-US" w:eastAsia="zh-CN"/>
        </w:rPr>
        <w:t>9）潮州市公共资源交易申请表、工程进场交易委托书、工程进场交易承诺书、建设工程招标文件送达登记表（根据项目类别送达相应行业行政主管部门）</w:t>
      </w:r>
    </w:p>
    <w:p>
      <w:pPr>
        <w:spacing w:line="360" w:lineRule="auto"/>
        <w:ind w:firstLine="480" w:firstLineChars="200"/>
        <w:rPr>
          <w:rFonts w:hint="default" w:eastAsia="宋体"/>
          <w:color w:val="auto"/>
          <w:sz w:val="24"/>
          <w:lang w:val="en-US" w:eastAsia="zh-CN"/>
        </w:rPr>
      </w:pPr>
      <w:r>
        <w:rPr>
          <w:rFonts w:hint="eastAsia"/>
          <w:color w:val="auto"/>
          <w:sz w:val="24"/>
          <w:lang w:val="en-US" w:eastAsia="zh-CN"/>
        </w:rPr>
        <w:t>同时，在中心建设工程电子交易系统上传一份上述纸质资料电子版申请入场交易并预约开评标场地及时间，相关负责人审核后，招标人可通过电子交易系统发布招标项目。</w:t>
      </w:r>
    </w:p>
    <w:bookmarkEnd w:id="6"/>
    <w:p>
      <w:pPr>
        <w:spacing w:line="360" w:lineRule="auto"/>
        <w:ind w:left="479" w:leftChars="228"/>
        <w:outlineLvl w:val="2"/>
        <w:rPr>
          <w:rFonts w:hint="eastAsia" w:ascii="宋体" w:hAnsi="宋体"/>
          <w:b/>
          <w:sz w:val="24"/>
        </w:rPr>
      </w:pPr>
      <w:r>
        <w:rPr>
          <w:rFonts w:hint="eastAsia" w:ascii="宋体" w:hAnsi="宋体"/>
          <w:b/>
          <w:sz w:val="24"/>
        </w:rPr>
        <w:t>2.2</w:t>
      </w:r>
      <w:r>
        <w:rPr>
          <w:rFonts w:hint="eastAsia" w:ascii="宋体" w:hAnsi="宋体"/>
          <w:b/>
          <w:vanish/>
          <w:sz w:val="24"/>
        </w:rPr>
        <w:cr/>
      </w:r>
      <w:bookmarkStart w:id="9" w:name="_Toc307405970"/>
      <w:r>
        <w:rPr>
          <w:rFonts w:hint="eastAsia" w:ascii="宋体" w:hAnsi="宋体"/>
          <w:b/>
          <w:sz w:val="24"/>
        </w:rPr>
        <w:t xml:space="preserve"> 招标投标活动日程安排</w:t>
      </w:r>
      <w:bookmarkEnd w:id="9"/>
    </w:p>
    <w:p>
      <w:pPr>
        <w:spacing w:line="360" w:lineRule="auto"/>
        <w:ind w:firstLine="480" w:firstLineChars="200"/>
        <w:rPr>
          <w:rFonts w:hint="eastAsia" w:ascii="宋体" w:hAnsi="宋体"/>
          <w:sz w:val="24"/>
        </w:rPr>
      </w:pPr>
      <w:r>
        <w:rPr>
          <w:rFonts w:hint="eastAsia" w:ascii="宋体" w:hAnsi="宋体"/>
          <w:sz w:val="24"/>
        </w:rPr>
        <w:t>会同招标人商定招标投标活动的日程安排，日程编排应依据法定的时间制定。自招标文件开始下载之日起至投标人提交投标文件截止之日止，最短不得少于20日。</w:t>
      </w:r>
    </w:p>
    <w:p>
      <w:pPr>
        <w:spacing w:line="360" w:lineRule="auto"/>
        <w:ind w:firstLine="482" w:firstLineChars="200"/>
        <w:outlineLvl w:val="2"/>
        <w:rPr>
          <w:rFonts w:hint="eastAsia" w:ascii="宋体" w:hAnsi="宋体"/>
          <w:b/>
          <w:color w:val="auto"/>
          <w:sz w:val="24"/>
        </w:rPr>
      </w:pPr>
      <w:bookmarkStart w:id="10" w:name="_Toc307405971"/>
      <w:r>
        <w:rPr>
          <w:rFonts w:hint="eastAsia" w:ascii="宋体" w:hAnsi="宋体"/>
          <w:b/>
          <w:color w:val="auto"/>
          <w:sz w:val="24"/>
        </w:rPr>
        <w:t>2.3</w:t>
      </w:r>
      <w:r>
        <w:rPr>
          <w:rFonts w:hint="eastAsia" w:ascii="宋体" w:hAnsi="宋体"/>
          <w:b/>
          <w:vanish/>
          <w:color w:val="auto"/>
          <w:sz w:val="24"/>
        </w:rPr>
        <w:cr/>
      </w:r>
      <w:r>
        <w:rPr>
          <w:rFonts w:hint="eastAsia" w:ascii="宋体" w:hAnsi="宋体"/>
          <w:b/>
          <w:color w:val="auto"/>
          <w:sz w:val="24"/>
        </w:rPr>
        <w:t xml:space="preserve"> 发布招标公告或资格预审公告</w:t>
      </w:r>
      <w:bookmarkEnd w:id="10"/>
    </w:p>
    <w:p>
      <w:pPr>
        <w:spacing w:line="360" w:lineRule="auto"/>
        <w:ind w:firstLine="480" w:firstLineChars="200"/>
        <w:rPr>
          <w:rFonts w:hint="eastAsia" w:ascii="宋体" w:hAnsi="宋体"/>
          <w:color w:val="auto"/>
          <w:sz w:val="24"/>
        </w:rPr>
      </w:pPr>
      <w:r>
        <w:rPr>
          <w:rFonts w:hint="eastAsia" w:ascii="宋体" w:hAnsi="宋体"/>
          <w:color w:val="auto"/>
          <w:sz w:val="24"/>
        </w:rPr>
        <w:t>2.3.1招标项目经过工程交易部部长、分管领导审核通过之后，</w:t>
      </w:r>
      <w:r>
        <w:rPr>
          <w:rFonts w:hint="eastAsia" w:ascii="宋体" w:hAnsi="宋体"/>
          <w:color w:val="auto"/>
          <w:sz w:val="24"/>
          <w:lang w:val="en-US" w:eastAsia="zh-CN"/>
        </w:rPr>
        <w:t>由招标人</w:t>
      </w:r>
      <w:r>
        <w:rPr>
          <w:rFonts w:hint="eastAsia" w:ascii="宋体" w:hAnsi="宋体"/>
          <w:color w:val="auto"/>
          <w:sz w:val="24"/>
        </w:rPr>
        <w:t>在公共资源交易</w:t>
      </w:r>
      <w:r>
        <w:rPr>
          <w:rFonts w:hint="eastAsia" w:ascii="宋体" w:hAnsi="宋体"/>
          <w:color w:val="auto"/>
          <w:sz w:val="24"/>
          <w:lang w:val="en-US" w:eastAsia="zh-CN"/>
        </w:rPr>
        <w:t>平台电子交易系统上</w:t>
      </w:r>
      <w:r>
        <w:rPr>
          <w:rFonts w:hint="eastAsia" w:ascii="宋体" w:hAnsi="宋体"/>
          <w:color w:val="auto"/>
          <w:sz w:val="24"/>
        </w:rPr>
        <w:t>发布公告。招标人</w:t>
      </w:r>
      <w:r>
        <w:rPr>
          <w:rFonts w:hint="eastAsia" w:ascii="宋体" w:hAnsi="宋体"/>
          <w:color w:val="auto"/>
          <w:sz w:val="24"/>
          <w:lang w:val="en-US" w:eastAsia="zh-CN"/>
        </w:rPr>
        <w:t>上传</w:t>
      </w:r>
      <w:r>
        <w:rPr>
          <w:rFonts w:hint="eastAsia" w:ascii="宋体" w:hAnsi="宋体"/>
          <w:color w:val="auto"/>
          <w:sz w:val="24"/>
        </w:rPr>
        <w:t>提供的招标</w:t>
      </w:r>
      <w:r>
        <w:rPr>
          <w:rFonts w:hint="eastAsia" w:ascii="宋体" w:hAnsi="宋体"/>
          <w:color w:val="auto"/>
          <w:sz w:val="24"/>
          <w:lang w:val="en-US" w:eastAsia="zh-CN"/>
        </w:rPr>
        <w:t>文件</w:t>
      </w:r>
      <w:r>
        <w:rPr>
          <w:rFonts w:hint="eastAsia" w:ascii="宋体" w:hAnsi="宋体"/>
          <w:color w:val="auto"/>
          <w:sz w:val="24"/>
        </w:rPr>
        <w:t>、资格预审公告（电子文档）</w:t>
      </w:r>
      <w:r>
        <w:rPr>
          <w:rFonts w:hint="eastAsia" w:ascii="宋体" w:hAnsi="宋体"/>
          <w:color w:val="auto"/>
          <w:sz w:val="24"/>
          <w:lang w:val="en-US" w:eastAsia="zh-CN"/>
        </w:rPr>
        <w:t>以及相关附件</w:t>
      </w:r>
      <w:r>
        <w:rPr>
          <w:rFonts w:hint="eastAsia" w:ascii="宋体" w:hAnsi="宋体"/>
          <w:color w:val="auto"/>
          <w:sz w:val="24"/>
        </w:rPr>
        <w:t>，</w:t>
      </w:r>
      <w:r>
        <w:rPr>
          <w:rFonts w:hint="eastAsia" w:ascii="宋体" w:hAnsi="宋体"/>
          <w:color w:val="auto"/>
          <w:sz w:val="24"/>
          <w:lang w:val="en-US" w:eastAsia="zh-CN"/>
        </w:rPr>
        <w:t>须</w:t>
      </w:r>
      <w:r>
        <w:rPr>
          <w:rFonts w:hint="eastAsia" w:ascii="宋体" w:hAnsi="宋体"/>
          <w:color w:val="auto"/>
          <w:sz w:val="24"/>
        </w:rPr>
        <w:t>与</w:t>
      </w:r>
      <w:r>
        <w:rPr>
          <w:rFonts w:hint="eastAsia" w:ascii="宋体" w:hAnsi="宋体"/>
          <w:color w:val="auto"/>
          <w:sz w:val="24"/>
          <w:lang w:val="en-US" w:eastAsia="zh-CN"/>
        </w:rPr>
        <w:t>提交的</w:t>
      </w:r>
      <w:r>
        <w:rPr>
          <w:rFonts w:hint="eastAsia" w:ascii="宋体" w:hAnsi="宋体"/>
          <w:color w:val="auto"/>
          <w:sz w:val="24"/>
        </w:rPr>
        <w:t>纸质</w:t>
      </w:r>
      <w:r>
        <w:rPr>
          <w:rFonts w:hint="eastAsia" w:ascii="宋体" w:hAnsi="宋体"/>
          <w:color w:val="auto"/>
          <w:sz w:val="24"/>
          <w:lang w:val="en-US" w:eastAsia="zh-CN"/>
        </w:rPr>
        <w:t>资料</w:t>
      </w:r>
      <w:r>
        <w:rPr>
          <w:rFonts w:hint="eastAsia" w:ascii="宋体" w:hAnsi="宋体"/>
          <w:color w:val="auto"/>
          <w:sz w:val="24"/>
        </w:rPr>
        <w:t>内容一致，不一致的退回招标人修改；</w:t>
      </w:r>
    </w:p>
    <w:p>
      <w:pPr>
        <w:spacing w:line="360" w:lineRule="auto"/>
        <w:ind w:firstLine="480" w:firstLineChars="200"/>
        <w:rPr>
          <w:rFonts w:hint="eastAsia" w:ascii="宋体" w:hAnsi="宋体"/>
          <w:color w:val="auto"/>
          <w:sz w:val="24"/>
        </w:rPr>
      </w:pPr>
      <w:r>
        <w:rPr>
          <w:rFonts w:hint="eastAsia" w:ascii="宋体" w:hAnsi="宋体"/>
          <w:color w:val="auto"/>
          <w:sz w:val="24"/>
        </w:rPr>
        <w:t>2.3.2资格后审的项目在发布公告时应同时发布招标文件、工程量清单、招标控制价及图纸</w:t>
      </w:r>
      <w:r>
        <w:rPr>
          <w:rFonts w:hint="eastAsia" w:ascii="宋体" w:hAnsi="宋体"/>
          <w:color w:val="auto"/>
          <w:sz w:val="24"/>
          <w:lang w:val="en-US" w:eastAsia="zh-CN"/>
        </w:rPr>
        <w:t>等相关资料</w:t>
      </w:r>
      <w:r>
        <w:rPr>
          <w:rFonts w:hint="eastAsia" w:ascii="宋体" w:hAnsi="宋体"/>
          <w:color w:val="auto"/>
          <w:sz w:val="24"/>
        </w:rPr>
        <w:t>。</w:t>
      </w:r>
    </w:p>
    <w:p>
      <w:pPr>
        <w:spacing w:line="360" w:lineRule="auto"/>
        <w:ind w:firstLine="480" w:firstLineChars="200"/>
        <w:rPr>
          <w:rFonts w:hint="eastAsia" w:ascii="宋体" w:hAnsi="宋体"/>
          <w:color w:val="auto"/>
          <w:sz w:val="24"/>
        </w:rPr>
      </w:pPr>
      <w:r>
        <w:rPr>
          <w:rFonts w:hint="eastAsia" w:ascii="宋体" w:hAnsi="宋体"/>
          <w:color w:val="auto"/>
          <w:sz w:val="24"/>
        </w:rPr>
        <w:t>2.3.3 指引招标人依法到指定的媒介发布招标公告。</w:t>
      </w:r>
    </w:p>
    <w:p>
      <w:pPr>
        <w:spacing w:line="360" w:lineRule="auto"/>
        <w:ind w:firstLine="480" w:firstLineChars="200"/>
        <w:rPr>
          <w:rFonts w:ascii="宋体" w:hAnsi="宋体"/>
          <w:color w:val="auto"/>
          <w:sz w:val="24"/>
        </w:rPr>
      </w:pPr>
      <w:r>
        <w:rPr>
          <w:rFonts w:hint="eastAsia" w:ascii="宋体" w:hAnsi="宋体"/>
          <w:color w:val="auto"/>
          <w:sz w:val="24"/>
        </w:rPr>
        <w:t>2.3.4招标、资格预审公告发布后，招标人</w:t>
      </w:r>
      <w:r>
        <w:rPr>
          <w:rFonts w:hint="eastAsia" w:ascii="宋体" w:hAnsi="宋体"/>
          <w:color w:val="auto"/>
          <w:sz w:val="24"/>
          <w:lang w:val="en-US" w:eastAsia="zh-CN"/>
        </w:rPr>
        <w:t>澄清、修改招标文件</w:t>
      </w:r>
      <w:r>
        <w:rPr>
          <w:rFonts w:hint="eastAsia" w:ascii="宋体" w:hAnsi="宋体"/>
          <w:color w:val="auto"/>
          <w:sz w:val="24"/>
        </w:rPr>
        <w:t>的，按招标、资格预审公告发布的程序发布</w:t>
      </w:r>
      <w:r>
        <w:rPr>
          <w:rFonts w:hint="eastAsia" w:ascii="宋体" w:hAnsi="宋体"/>
          <w:color w:val="auto"/>
          <w:sz w:val="24"/>
          <w:lang w:val="en-US" w:eastAsia="zh-CN"/>
        </w:rPr>
        <w:t>澄清/更正</w:t>
      </w:r>
      <w:r>
        <w:rPr>
          <w:rFonts w:hint="eastAsia" w:ascii="宋体" w:hAnsi="宋体"/>
          <w:color w:val="auto"/>
          <w:sz w:val="24"/>
        </w:rPr>
        <w:t>公告，并相应延迟资格预审或开标时间。</w:t>
      </w:r>
    </w:p>
    <w:p>
      <w:pPr>
        <w:spacing w:line="360" w:lineRule="auto"/>
        <w:ind w:firstLine="482" w:firstLineChars="200"/>
        <w:rPr>
          <w:rFonts w:hint="default" w:ascii="宋体" w:hAnsi="宋体" w:eastAsia="宋体"/>
          <w:b/>
          <w:color w:val="auto"/>
          <w:sz w:val="24"/>
          <w:lang w:val="en-US" w:eastAsia="zh-CN"/>
        </w:rPr>
      </w:pPr>
      <w:bookmarkStart w:id="11" w:name="_Toc307405972"/>
      <w:r>
        <w:rPr>
          <w:rFonts w:hint="eastAsia" w:ascii="宋体" w:hAnsi="宋体"/>
          <w:b/>
          <w:color w:val="auto"/>
          <w:sz w:val="24"/>
        </w:rPr>
        <w:t>2.4</w:t>
      </w:r>
      <w:bookmarkEnd w:id="11"/>
      <w:r>
        <w:rPr>
          <w:rFonts w:hint="eastAsia" w:ascii="宋体" w:hAnsi="宋体"/>
          <w:b/>
          <w:color w:val="auto"/>
          <w:sz w:val="24"/>
          <w:lang w:val="en-US" w:eastAsia="zh-CN"/>
        </w:rPr>
        <w:t>投标人投标</w:t>
      </w:r>
    </w:p>
    <w:p>
      <w:pPr>
        <w:spacing w:line="360" w:lineRule="auto"/>
        <w:ind w:firstLine="480" w:firstLineChars="200"/>
        <w:rPr>
          <w:rFonts w:hint="default" w:ascii="宋体" w:hAnsi="宋体" w:eastAsia="宋体"/>
          <w:sz w:val="24"/>
          <w:lang w:val="en-US" w:eastAsia="zh-CN"/>
        </w:rPr>
      </w:pPr>
      <w:r>
        <w:rPr>
          <w:rFonts w:hint="eastAsia" w:ascii="宋体" w:hAnsi="宋体"/>
          <w:sz w:val="24"/>
        </w:rPr>
        <w:t>2.4.1 投标人必须取得“CA数字证书”，方可</w:t>
      </w:r>
      <w:r>
        <w:rPr>
          <w:rFonts w:hint="eastAsia" w:ascii="宋体" w:hAnsi="宋体"/>
          <w:sz w:val="24"/>
          <w:lang w:val="en-US" w:eastAsia="zh-CN"/>
        </w:rPr>
        <w:t>在</w:t>
      </w:r>
      <w:r>
        <w:rPr>
          <w:rFonts w:hint="eastAsia" w:ascii="宋体" w:hAnsi="宋体"/>
          <w:sz w:val="24"/>
        </w:rPr>
        <w:t>网上</w:t>
      </w:r>
      <w:r>
        <w:rPr>
          <w:rFonts w:hint="eastAsia" w:ascii="宋体" w:hAnsi="宋体"/>
          <w:sz w:val="24"/>
          <w:lang w:val="en-US" w:eastAsia="zh-CN"/>
        </w:rPr>
        <w:t>登记投标</w:t>
      </w:r>
      <w:r>
        <w:rPr>
          <w:rFonts w:hint="eastAsia" w:ascii="宋体" w:hAnsi="宋体"/>
          <w:sz w:val="24"/>
          <w:lang w:eastAsia="zh-CN"/>
        </w:rPr>
        <w:t>。</w:t>
      </w:r>
      <w:r>
        <w:rPr>
          <w:rFonts w:hint="eastAsia" w:ascii="宋体" w:hAnsi="宋体"/>
          <w:sz w:val="24"/>
        </w:rPr>
        <w:t>初次使用“CA数字证书”须在广东省数字认证中心网站下载“CA数字证书”</w:t>
      </w:r>
      <w:r>
        <w:rPr>
          <w:rFonts w:hint="eastAsia" w:ascii="宋体" w:hAnsi="宋体"/>
          <w:sz w:val="24"/>
          <w:lang w:val="en-US" w:eastAsia="zh-CN"/>
        </w:rPr>
        <w:t>客户端</w:t>
      </w:r>
      <w:r>
        <w:rPr>
          <w:rFonts w:hint="eastAsia" w:ascii="宋体" w:hAnsi="宋体"/>
          <w:sz w:val="24"/>
        </w:rPr>
        <w:t>驱动程序</w:t>
      </w:r>
      <w:r>
        <w:rPr>
          <w:rFonts w:hint="eastAsia" w:ascii="宋体" w:hAnsi="宋体"/>
          <w:sz w:val="24"/>
          <w:lang w:val="en-US" w:eastAsia="zh-CN"/>
        </w:rPr>
        <w:t>及信鉴易电子印章阅读器</w:t>
      </w:r>
      <w:r>
        <w:rPr>
          <w:rFonts w:hint="eastAsia" w:ascii="宋体" w:hAnsi="宋体"/>
          <w:sz w:val="24"/>
        </w:rPr>
        <w:t>。</w:t>
      </w:r>
      <w:r>
        <w:rPr>
          <w:rFonts w:hint="eastAsia" w:ascii="宋体" w:hAnsi="宋体"/>
          <w:sz w:val="24"/>
          <w:lang w:val="en-US" w:eastAsia="zh-CN"/>
        </w:rPr>
        <w:t>使用移动数字证的粤企签移动数字证书操作指引进行操作。</w:t>
      </w:r>
    </w:p>
    <w:p>
      <w:pPr>
        <w:spacing w:line="360" w:lineRule="auto"/>
        <w:ind w:firstLine="480" w:firstLineChars="200"/>
        <w:rPr>
          <w:rFonts w:hint="eastAsia" w:ascii="宋体" w:hAnsi="宋体"/>
          <w:sz w:val="24"/>
        </w:rPr>
      </w:pPr>
      <w:r>
        <w:rPr>
          <w:rFonts w:hint="eastAsia" w:ascii="宋体" w:hAnsi="宋体"/>
          <w:sz w:val="24"/>
        </w:rPr>
        <w:t>2.4.2 投标人登录《潮州市公共资源交易网》，然后点击进入“工程交易”模块https://www.czggzy.com:8088/indexj.jsp，选择拟</w:t>
      </w:r>
      <w:r>
        <w:rPr>
          <w:rFonts w:hint="eastAsia" w:ascii="宋体" w:hAnsi="宋体"/>
          <w:sz w:val="24"/>
          <w:lang w:val="en-US" w:eastAsia="zh-CN"/>
        </w:rPr>
        <w:t>投标</w:t>
      </w:r>
      <w:r>
        <w:rPr>
          <w:rFonts w:hint="eastAsia" w:ascii="宋体" w:hAnsi="宋体"/>
          <w:sz w:val="24"/>
        </w:rPr>
        <w:t>项目点击“</w:t>
      </w:r>
      <w:r>
        <w:rPr>
          <w:rFonts w:hint="eastAsia" w:ascii="宋体" w:hAnsi="宋体"/>
          <w:sz w:val="24"/>
          <w:lang w:val="en-US" w:eastAsia="zh-CN"/>
        </w:rPr>
        <w:t>登录系统</w:t>
      </w:r>
      <w:r>
        <w:rPr>
          <w:rFonts w:hint="eastAsia" w:ascii="宋体" w:hAnsi="宋体"/>
          <w:sz w:val="24"/>
        </w:rPr>
        <w:t>”，按系统提示进行项目</w:t>
      </w:r>
      <w:r>
        <w:rPr>
          <w:rFonts w:hint="eastAsia" w:ascii="宋体" w:hAnsi="宋体"/>
          <w:sz w:val="24"/>
          <w:lang w:val="en-US" w:eastAsia="zh-CN"/>
        </w:rPr>
        <w:t>登记</w:t>
      </w:r>
      <w:r>
        <w:rPr>
          <w:rFonts w:hint="eastAsia" w:ascii="宋体" w:hAnsi="宋体"/>
          <w:sz w:val="24"/>
        </w:rPr>
        <w:t>和下载招标文件等资料，</w:t>
      </w:r>
      <w:r>
        <w:rPr>
          <w:rFonts w:hint="eastAsia" w:ascii="宋体" w:hAnsi="宋体"/>
          <w:sz w:val="24"/>
          <w:lang w:val="en-US" w:eastAsia="zh-CN"/>
        </w:rPr>
        <w:t>后线上制作投标文件投标</w:t>
      </w:r>
      <w:r>
        <w:rPr>
          <w:rFonts w:hint="eastAsia" w:ascii="宋体" w:hAnsi="宋体"/>
          <w:sz w:val="24"/>
        </w:rPr>
        <w:t>。</w:t>
      </w:r>
    </w:p>
    <w:p>
      <w:pPr>
        <w:spacing w:line="360" w:lineRule="auto"/>
        <w:ind w:firstLine="480" w:firstLineChars="200"/>
        <w:rPr>
          <w:rFonts w:hint="eastAsia" w:ascii="宋体" w:hAnsi="宋体"/>
          <w:sz w:val="24"/>
        </w:rPr>
      </w:pPr>
      <w:r>
        <w:rPr>
          <w:rFonts w:hint="eastAsia" w:ascii="宋体" w:hAnsi="宋体"/>
          <w:sz w:val="24"/>
        </w:rPr>
        <w:t>2.4.3 在</w:t>
      </w:r>
      <w:r>
        <w:rPr>
          <w:rFonts w:hint="eastAsia" w:ascii="宋体" w:hAnsi="宋体"/>
          <w:sz w:val="24"/>
          <w:lang w:val="en-US" w:eastAsia="zh-CN"/>
        </w:rPr>
        <w:t>开标解密</w:t>
      </w:r>
      <w:r>
        <w:rPr>
          <w:rFonts w:hint="eastAsia" w:ascii="宋体" w:hAnsi="宋体"/>
          <w:sz w:val="24"/>
        </w:rPr>
        <w:t>后， 核对投标报名的投标人数量是否符合法定要求，投标申请人少于法定人数要求的，应指引招标人依法组织重新招标。</w:t>
      </w:r>
    </w:p>
    <w:p>
      <w:pPr>
        <w:spacing w:line="360" w:lineRule="auto"/>
        <w:ind w:firstLine="482" w:firstLineChars="200"/>
        <w:rPr>
          <w:rFonts w:hint="eastAsia" w:ascii="宋体" w:hAnsi="宋体"/>
          <w:b/>
          <w:sz w:val="24"/>
        </w:rPr>
      </w:pPr>
      <w:bookmarkStart w:id="12" w:name="_Toc307405973"/>
      <w:r>
        <w:rPr>
          <w:rFonts w:hint="eastAsia" w:ascii="宋体" w:hAnsi="宋体"/>
          <w:b/>
          <w:sz w:val="24"/>
        </w:rPr>
        <w:t>2.5 答疑发布</w:t>
      </w:r>
    </w:p>
    <w:p>
      <w:pPr>
        <w:spacing w:line="360" w:lineRule="auto"/>
        <w:ind w:firstLine="480" w:firstLineChars="200"/>
        <w:outlineLvl w:val="2"/>
        <w:rPr>
          <w:rFonts w:hint="eastAsia" w:ascii="宋体" w:hAnsi="宋体"/>
          <w:sz w:val="24"/>
        </w:rPr>
      </w:pPr>
      <w:r>
        <w:rPr>
          <w:rFonts w:hint="eastAsia" w:ascii="宋体" w:hAnsi="宋体"/>
          <w:sz w:val="24"/>
        </w:rPr>
        <w:t>2.5.1潜在投标人按招标文件要求在交易平台以匿名方式提出问题，招标人（招标代理机构）收集所有问题后编制答疑文件，</w:t>
      </w:r>
      <w:r>
        <w:rPr>
          <w:rFonts w:hint="eastAsia" w:ascii="宋体" w:hAnsi="宋体"/>
          <w:sz w:val="24"/>
          <w:lang w:val="en-US" w:eastAsia="zh-CN"/>
        </w:rPr>
        <w:t>并将答</w:t>
      </w:r>
      <w:r>
        <w:rPr>
          <w:rFonts w:hint="eastAsia" w:ascii="宋体" w:hAnsi="宋体"/>
          <w:sz w:val="24"/>
        </w:rPr>
        <w:t>疑</w:t>
      </w:r>
      <w:r>
        <w:rPr>
          <w:rFonts w:hint="eastAsia" w:ascii="宋体" w:hAnsi="宋体"/>
          <w:sz w:val="24"/>
          <w:lang w:val="en-US" w:eastAsia="zh-CN"/>
        </w:rPr>
        <w:t>文件送达</w:t>
      </w:r>
      <w:r>
        <w:rPr>
          <w:rFonts w:hint="eastAsia" w:ascii="宋体" w:hAnsi="宋体"/>
          <w:sz w:val="24"/>
        </w:rPr>
        <w:t>行业监管部门，</w:t>
      </w:r>
      <w:r>
        <w:rPr>
          <w:rFonts w:hint="eastAsia" w:ascii="宋体" w:hAnsi="宋体"/>
          <w:sz w:val="24"/>
          <w:lang w:val="en-US" w:eastAsia="zh-CN"/>
        </w:rPr>
        <w:t>由招标人</w:t>
      </w:r>
      <w:r>
        <w:rPr>
          <w:rFonts w:hint="eastAsia" w:ascii="宋体" w:hAnsi="宋体"/>
          <w:sz w:val="24"/>
        </w:rPr>
        <w:t>将答疑文件网上发布。</w:t>
      </w:r>
    </w:p>
    <w:p>
      <w:pPr>
        <w:spacing w:line="360" w:lineRule="auto"/>
        <w:ind w:firstLine="480" w:firstLineChars="200"/>
        <w:rPr>
          <w:rFonts w:ascii="宋体" w:hAnsi="宋体"/>
          <w:sz w:val="24"/>
        </w:rPr>
      </w:pPr>
      <w:r>
        <w:rPr>
          <w:rFonts w:hint="eastAsia" w:ascii="宋体" w:hAnsi="宋体"/>
          <w:sz w:val="24"/>
        </w:rPr>
        <w:t>2.5.2招标人对资格预审文件或招标文件的澄清内容可能影响资格预审申请文件或投标文件编制的，应在法定时间截止前在网上公布，时间不足的，应相应顺延投标截止时间，并根据顺延的投标截止时间调整场地安排。</w:t>
      </w:r>
    </w:p>
    <w:p>
      <w:pPr>
        <w:spacing w:line="360" w:lineRule="auto"/>
        <w:ind w:firstLine="482" w:firstLineChars="200"/>
        <w:outlineLvl w:val="2"/>
        <w:rPr>
          <w:rFonts w:hint="eastAsia" w:ascii="宋体" w:hAnsi="宋体"/>
          <w:b/>
          <w:sz w:val="24"/>
        </w:rPr>
      </w:pPr>
      <w:r>
        <w:rPr>
          <w:rFonts w:hint="eastAsia" w:ascii="宋体" w:hAnsi="宋体"/>
          <w:b/>
          <w:sz w:val="24"/>
        </w:rPr>
        <w:t>2.6投标人递交投标保证金</w:t>
      </w:r>
    </w:p>
    <w:p>
      <w:pPr>
        <w:spacing w:line="360" w:lineRule="auto"/>
        <w:ind w:firstLine="480" w:firstLineChars="200"/>
        <w:outlineLvl w:val="2"/>
        <w:rPr>
          <w:rFonts w:hint="eastAsia" w:ascii="宋体" w:hAnsi="宋体"/>
          <w:sz w:val="24"/>
        </w:rPr>
      </w:pPr>
      <w:r>
        <w:rPr>
          <w:rFonts w:hint="eastAsia" w:ascii="宋体" w:hAnsi="宋体"/>
          <w:sz w:val="24"/>
        </w:rPr>
        <w:t>2.6.1投标人</w:t>
      </w:r>
      <w:r>
        <w:rPr>
          <w:rFonts w:hint="eastAsia" w:ascii="宋体" w:hAnsi="宋体"/>
          <w:sz w:val="24"/>
          <w:lang w:val="en-US" w:eastAsia="zh-CN"/>
        </w:rPr>
        <w:t>登记信息</w:t>
      </w:r>
      <w:r>
        <w:rPr>
          <w:rFonts w:hint="eastAsia" w:ascii="宋体" w:hAnsi="宋体"/>
          <w:sz w:val="24"/>
        </w:rPr>
        <w:t>完成后，通过投标保证金缴交系统缴交投标保证金</w:t>
      </w:r>
      <w:r>
        <w:rPr>
          <w:rFonts w:hint="eastAsia" w:ascii="宋体" w:hAnsi="宋体"/>
          <w:sz w:val="24"/>
          <w:lang w:val="en-US" w:eastAsia="zh-CN"/>
        </w:rPr>
        <w:t>或开立电子保函</w:t>
      </w:r>
      <w:r>
        <w:rPr>
          <w:rFonts w:hint="eastAsia" w:ascii="宋体" w:hAnsi="宋体"/>
          <w:sz w:val="24"/>
        </w:rPr>
        <w:t>。</w:t>
      </w:r>
    </w:p>
    <w:p>
      <w:pPr>
        <w:spacing w:line="360" w:lineRule="auto"/>
        <w:ind w:firstLine="480" w:firstLineChars="200"/>
        <w:outlineLvl w:val="2"/>
        <w:rPr>
          <w:rFonts w:hint="eastAsia" w:ascii="宋体" w:hAnsi="宋体"/>
          <w:sz w:val="24"/>
        </w:rPr>
      </w:pPr>
      <w:r>
        <w:rPr>
          <w:rFonts w:hint="eastAsia" w:ascii="宋体" w:hAnsi="宋体"/>
          <w:sz w:val="24"/>
        </w:rPr>
        <w:t xml:space="preserve">2.6.2 </w:t>
      </w:r>
      <w:r>
        <w:rPr>
          <w:rFonts w:hint="eastAsia" w:ascii="宋体" w:hAnsi="宋体"/>
          <w:sz w:val="24"/>
          <w:lang w:val="en-US" w:eastAsia="zh-CN"/>
        </w:rPr>
        <w:t>如采用缴交</w:t>
      </w:r>
      <w:r>
        <w:rPr>
          <w:rFonts w:hint="eastAsia" w:ascii="宋体" w:hAnsi="宋体"/>
          <w:sz w:val="24"/>
        </w:rPr>
        <w:t>投标保证金</w:t>
      </w:r>
      <w:r>
        <w:rPr>
          <w:rFonts w:hint="eastAsia" w:ascii="宋体" w:hAnsi="宋体"/>
          <w:sz w:val="24"/>
          <w:lang w:val="en-US" w:eastAsia="zh-CN"/>
        </w:rPr>
        <w:t>的，</w:t>
      </w:r>
      <w:r>
        <w:rPr>
          <w:rFonts w:hint="eastAsia" w:ascii="宋体" w:hAnsi="宋体"/>
          <w:sz w:val="24"/>
        </w:rPr>
        <w:t>必须从登记的企业基本帐号转出（不接收现金缴交），并按招标文件约定的缴纳金额、截至时间进行缴纳，否则投标保证金无效。</w:t>
      </w:r>
    </w:p>
    <w:p>
      <w:pPr>
        <w:spacing w:line="360" w:lineRule="auto"/>
        <w:ind w:firstLine="480" w:firstLineChars="200"/>
        <w:outlineLvl w:val="2"/>
        <w:rPr>
          <w:rFonts w:hint="eastAsia" w:ascii="宋体" w:hAnsi="宋体"/>
          <w:sz w:val="24"/>
        </w:rPr>
      </w:pPr>
      <w:r>
        <w:rPr>
          <w:rFonts w:hint="eastAsia" w:ascii="宋体" w:hAnsi="宋体"/>
          <w:sz w:val="24"/>
        </w:rPr>
        <w:t>2.6.3</w:t>
      </w:r>
      <w:r>
        <w:rPr>
          <w:rFonts w:hint="eastAsia" w:ascii="宋体" w:hAnsi="宋体"/>
          <w:sz w:val="24"/>
          <w:lang w:val="en-US" w:eastAsia="zh-CN"/>
        </w:rPr>
        <w:t>如采用开立电子保函的，应在电子保函服务平台完善企业信息，审核通过后可申请投标保证金电子保函。</w:t>
      </w:r>
    </w:p>
    <w:p>
      <w:pPr>
        <w:spacing w:line="360" w:lineRule="auto"/>
        <w:ind w:firstLine="472" w:firstLineChars="196"/>
        <w:outlineLvl w:val="2"/>
        <w:rPr>
          <w:rFonts w:hint="eastAsia" w:ascii="宋体" w:hAnsi="宋体"/>
          <w:b/>
          <w:sz w:val="24"/>
        </w:rPr>
      </w:pPr>
      <w:r>
        <w:rPr>
          <w:rFonts w:hint="eastAsia" w:ascii="宋体" w:hAnsi="宋体"/>
          <w:b/>
          <w:sz w:val="24"/>
        </w:rPr>
        <w:t>2.7接收投标文件</w:t>
      </w:r>
    </w:p>
    <w:p>
      <w:pPr>
        <w:spacing w:line="360" w:lineRule="auto"/>
        <w:ind w:firstLine="480" w:firstLineChars="200"/>
        <w:rPr>
          <w:rFonts w:hint="eastAsia" w:ascii="宋体" w:hAnsi="宋体"/>
          <w:sz w:val="24"/>
        </w:rPr>
      </w:pPr>
      <w:r>
        <w:rPr>
          <w:rFonts w:hint="eastAsia" w:ascii="宋体" w:hAnsi="宋体"/>
          <w:sz w:val="24"/>
        </w:rPr>
        <w:t>2.7.1熟悉招标文件的主要内容，包括投标文件的截止时间、</w:t>
      </w:r>
      <w:r>
        <w:rPr>
          <w:rFonts w:hint="eastAsia" w:ascii="宋体" w:hAnsi="宋体"/>
          <w:sz w:val="24"/>
          <w:lang w:val="en-US" w:eastAsia="zh-CN"/>
        </w:rPr>
        <w:t>投标保证金</w:t>
      </w:r>
      <w:r>
        <w:rPr>
          <w:rFonts w:hint="eastAsia" w:ascii="宋体" w:hAnsi="宋体"/>
          <w:sz w:val="24"/>
        </w:rPr>
        <w:t>、开评标程序、评标办法和废标条款。</w:t>
      </w:r>
    </w:p>
    <w:p>
      <w:pPr>
        <w:spacing w:line="360" w:lineRule="auto"/>
        <w:ind w:firstLine="480" w:firstLineChars="200"/>
        <w:rPr>
          <w:rFonts w:hint="eastAsia" w:ascii="宋体" w:hAnsi="宋体"/>
          <w:sz w:val="24"/>
        </w:rPr>
      </w:pPr>
      <w:r>
        <w:rPr>
          <w:rFonts w:hint="eastAsia" w:ascii="宋体" w:hAnsi="宋体"/>
          <w:sz w:val="24"/>
        </w:rPr>
        <w:t>2.7.2在招标文件规定的投标截止时间</w:t>
      </w:r>
      <w:r>
        <w:rPr>
          <w:rFonts w:hint="eastAsia" w:ascii="宋体" w:hAnsi="宋体"/>
          <w:sz w:val="24"/>
          <w:lang w:val="en-US" w:eastAsia="zh-CN"/>
        </w:rPr>
        <w:t>开标解密后，打印投标企业信息表及查询投标保证金或保函缴交情况。</w:t>
      </w:r>
    </w:p>
    <w:p>
      <w:pPr>
        <w:spacing w:line="360" w:lineRule="auto"/>
        <w:ind w:firstLine="480" w:firstLineChars="200"/>
        <w:rPr>
          <w:rFonts w:hint="eastAsia" w:ascii="宋体" w:hAnsi="宋体"/>
          <w:sz w:val="24"/>
        </w:rPr>
      </w:pPr>
      <w:r>
        <w:rPr>
          <w:rFonts w:hint="eastAsia" w:ascii="宋体" w:hAnsi="宋体"/>
          <w:sz w:val="24"/>
        </w:rPr>
        <w:t>2.7.3投标文件在招标文件规定的投标截止时间</w:t>
      </w:r>
      <w:r>
        <w:rPr>
          <w:rFonts w:hint="eastAsia" w:ascii="宋体" w:hAnsi="宋体"/>
          <w:sz w:val="24"/>
          <w:lang w:val="en-US" w:eastAsia="zh-CN"/>
        </w:rPr>
        <w:t>后上网提交的</w:t>
      </w:r>
      <w:r>
        <w:rPr>
          <w:rFonts w:hint="eastAsia" w:ascii="宋体" w:hAnsi="宋体"/>
          <w:sz w:val="24"/>
        </w:rPr>
        <w:t>，</w:t>
      </w:r>
      <w:r>
        <w:rPr>
          <w:rFonts w:hint="eastAsia" w:ascii="宋体" w:hAnsi="宋体"/>
          <w:sz w:val="24"/>
          <w:lang w:val="en-US" w:eastAsia="zh-CN"/>
        </w:rPr>
        <w:t>电子交易系统将</w:t>
      </w:r>
      <w:r>
        <w:rPr>
          <w:rFonts w:hint="eastAsia" w:ascii="宋体" w:hAnsi="宋体"/>
          <w:sz w:val="24"/>
        </w:rPr>
        <w:t>对</w:t>
      </w:r>
      <w:r>
        <w:rPr>
          <w:rFonts w:hint="eastAsia" w:ascii="宋体" w:hAnsi="宋体"/>
          <w:sz w:val="24"/>
          <w:lang w:val="en-US" w:eastAsia="zh-CN"/>
        </w:rPr>
        <w:t>其</w:t>
      </w:r>
      <w:r>
        <w:rPr>
          <w:rFonts w:hint="eastAsia" w:ascii="宋体" w:hAnsi="宋体"/>
          <w:sz w:val="24"/>
        </w:rPr>
        <w:t>投标文件</w:t>
      </w:r>
      <w:r>
        <w:rPr>
          <w:rFonts w:hint="eastAsia" w:ascii="宋体" w:hAnsi="宋体"/>
          <w:sz w:val="24"/>
          <w:lang w:val="en-US" w:eastAsia="zh-CN"/>
        </w:rPr>
        <w:t>予以拒收</w:t>
      </w:r>
      <w:r>
        <w:rPr>
          <w:rFonts w:hint="eastAsia" w:ascii="宋体" w:hAnsi="宋体"/>
          <w:sz w:val="24"/>
        </w:rPr>
        <w:t>。</w:t>
      </w:r>
    </w:p>
    <w:p>
      <w:pPr>
        <w:spacing w:line="360" w:lineRule="auto"/>
        <w:ind w:firstLine="480" w:firstLineChars="200"/>
        <w:rPr>
          <w:rFonts w:hint="eastAsia" w:ascii="宋体" w:hAnsi="宋体"/>
          <w:sz w:val="24"/>
        </w:rPr>
      </w:pPr>
      <w:r>
        <w:rPr>
          <w:rFonts w:hint="eastAsia" w:ascii="宋体" w:hAnsi="宋体"/>
          <w:sz w:val="24"/>
        </w:rPr>
        <w:t>2.7.4核对</w:t>
      </w:r>
      <w:r>
        <w:rPr>
          <w:rFonts w:hint="eastAsia" w:ascii="宋体" w:hAnsi="宋体"/>
          <w:sz w:val="24"/>
          <w:lang w:val="en-US" w:eastAsia="zh-CN"/>
        </w:rPr>
        <w:t>提</w:t>
      </w:r>
      <w:r>
        <w:rPr>
          <w:rFonts w:hint="eastAsia" w:ascii="宋体" w:hAnsi="宋体"/>
          <w:sz w:val="24"/>
        </w:rPr>
        <w:t>交投标文件的投标人的数量是否符合法定要求，投标人少于3人的，应指引招标人依法重新组织招标，并妥善处理好后续工作。</w:t>
      </w:r>
    </w:p>
    <w:p>
      <w:pPr>
        <w:spacing w:line="360" w:lineRule="auto"/>
        <w:ind w:firstLine="482" w:firstLineChars="200"/>
        <w:outlineLvl w:val="2"/>
        <w:rPr>
          <w:rFonts w:hint="eastAsia" w:ascii="宋体" w:hAnsi="宋体"/>
          <w:b/>
          <w:sz w:val="24"/>
        </w:rPr>
      </w:pPr>
      <w:r>
        <w:rPr>
          <w:rFonts w:hint="eastAsia" w:ascii="宋体" w:hAnsi="宋体"/>
          <w:b/>
          <w:sz w:val="24"/>
        </w:rPr>
        <w:t>2.8组建评标委员会</w:t>
      </w:r>
    </w:p>
    <w:p>
      <w:pPr>
        <w:spacing w:line="360" w:lineRule="auto"/>
        <w:ind w:firstLine="480" w:firstLineChars="200"/>
        <w:outlineLvl w:val="2"/>
        <w:rPr>
          <w:rFonts w:hint="eastAsia" w:ascii="宋体" w:hAnsi="宋体"/>
          <w:b/>
          <w:sz w:val="24"/>
        </w:rPr>
      </w:pPr>
      <w:r>
        <w:rPr>
          <w:rFonts w:hint="eastAsia" w:ascii="宋体" w:hAnsi="宋体"/>
          <w:sz w:val="24"/>
        </w:rPr>
        <w:t>2.8.1督促招标人在评标前按专家库管理部门的要求提出专家抽取的预约，填写《评标专家申请表》送至</w:t>
      </w:r>
      <w:r>
        <w:rPr>
          <w:rFonts w:hint="eastAsia" w:ascii="宋体" w:hAnsi="宋体"/>
          <w:sz w:val="24"/>
          <w:lang w:val="en-US" w:eastAsia="zh-CN"/>
        </w:rPr>
        <w:t>建设工程交易部</w:t>
      </w:r>
      <w:r>
        <w:rPr>
          <w:rFonts w:hint="eastAsia" w:ascii="宋体" w:hAnsi="宋体"/>
          <w:sz w:val="24"/>
        </w:rPr>
        <w:t>。</w:t>
      </w:r>
    </w:p>
    <w:p>
      <w:pPr>
        <w:spacing w:line="360" w:lineRule="auto"/>
        <w:ind w:firstLine="480" w:firstLineChars="200"/>
        <w:outlineLvl w:val="2"/>
        <w:rPr>
          <w:rFonts w:hint="eastAsia" w:ascii="宋体" w:hAnsi="宋体"/>
          <w:b/>
          <w:sz w:val="24"/>
        </w:rPr>
      </w:pPr>
      <w:r>
        <w:rPr>
          <w:rFonts w:hint="eastAsia" w:ascii="宋体" w:hAnsi="宋体"/>
          <w:sz w:val="24"/>
        </w:rPr>
        <w:t>2.8.2不得为招标人指定项目所需的评标专业、成员人数及</w:t>
      </w:r>
      <w:r>
        <w:rPr>
          <w:rFonts w:hint="eastAsia" w:ascii="宋体" w:hAnsi="宋体"/>
          <w:sz w:val="24"/>
          <w:lang w:val="en-US" w:eastAsia="zh-CN"/>
        </w:rPr>
        <w:t>地区地域</w:t>
      </w:r>
      <w:r>
        <w:rPr>
          <w:rFonts w:hint="eastAsia" w:ascii="宋体" w:hAnsi="宋体"/>
          <w:sz w:val="24"/>
        </w:rPr>
        <w:t>。</w:t>
      </w:r>
    </w:p>
    <w:bookmarkEnd w:id="12"/>
    <w:p>
      <w:pPr>
        <w:spacing w:line="360" w:lineRule="auto"/>
        <w:ind w:firstLine="482" w:firstLineChars="200"/>
        <w:outlineLvl w:val="2"/>
        <w:rPr>
          <w:rFonts w:hint="eastAsia" w:ascii="宋体" w:hAnsi="宋体"/>
          <w:b/>
          <w:sz w:val="24"/>
        </w:rPr>
      </w:pPr>
      <w:r>
        <w:rPr>
          <w:rFonts w:hint="eastAsia" w:ascii="宋体" w:hAnsi="宋体"/>
          <w:b/>
          <w:sz w:val="24"/>
        </w:rPr>
        <w:t>2.9 抽取通知专家</w:t>
      </w:r>
    </w:p>
    <w:p>
      <w:pPr>
        <w:spacing w:line="360" w:lineRule="auto"/>
        <w:ind w:firstLine="480" w:firstLineChars="200"/>
        <w:rPr>
          <w:rFonts w:hint="eastAsia" w:ascii="宋体" w:hAnsi="宋体"/>
          <w:sz w:val="24"/>
        </w:rPr>
      </w:pPr>
      <w:r>
        <w:rPr>
          <w:rFonts w:hint="eastAsia" w:ascii="宋体" w:hAnsi="宋体"/>
          <w:sz w:val="24"/>
        </w:rPr>
        <w:t>2.9.1专家抽取时间为评标</w:t>
      </w:r>
      <w:r>
        <w:rPr>
          <w:rFonts w:hint="eastAsia" w:ascii="宋体" w:hAnsi="宋体"/>
          <w:sz w:val="24"/>
          <w:lang w:val="en-US" w:eastAsia="zh-CN"/>
        </w:rPr>
        <w:t>前一</w:t>
      </w:r>
      <w:r>
        <w:rPr>
          <w:rFonts w:hint="eastAsia" w:ascii="宋体" w:hAnsi="宋体"/>
          <w:sz w:val="24"/>
        </w:rPr>
        <w:t>天抽取。</w:t>
      </w:r>
    </w:p>
    <w:p>
      <w:pPr>
        <w:spacing w:line="360" w:lineRule="auto"/>
        <w:ind w:firstLine="480" w:firstLineChars="200"/>
        <w:rPr>
          <w:rFonts w:hint="eastAsia" w:ascii="宋体" w:hAnsi="宋体"/>
          <w:sz w:val="24"/>
        </w:rPr>
      </w:pPr>
      <w:r>
        <w:rPr>
          <w:rFonts w:hint="eastAsia" w:ascii="宋体" w:hAnsi="宋体"/>
          <w:sz w:val="24"/>
        </w:rPr>
        <w:t>2.9.2核对抽取人员的身份，监督人员是否到场，检查《评标专家申请表》是否经项目经办人签名、招标人是否已盖公章确认。</w:t>
      </w:r>
    </w:p>
    <w:p>
      <w:pPr>
        <w:spacing w:line="360" w:lineRule="auto"/>
        <w:ind w:firstLine="480" w:firstLineChars="200"/>
        <w:rPr>
          <w:rFonts w:hint="eastAsia" w:ascii="宋体" w:hAnsi="宋体"/>
          <w:sz w:val="24"/>
        </w:rPr>
      </w:pPr>
      <w:r>
        <w:rPr>
          <w:rFonts w:hint="eastAsia" w:ascii="宋体" w:hAnsi="宋体"/>
          <w:sz w:val="24"/>
        </w:rPr>
        <w:t>2.9.</w:t>
      </w:r>
      <w:r>
        <w:rPr>
          <w:rFonts w:hint="eastAsia" w:ascii="宋体" w:hAnsi="宋体"/>
          <w:sz w:val="24"/>
          <w:lang w:val="en-US" w:eastAsia="zh-CN"/>
        </w:rPr>
        <w:t>3</w:t>
      </w:r>
      <w:r>
        <w:rPr>
          <w:rFonts w:hint="eastAsia" w:ascii="宋体" w:hAnsi="宋体"/>
          <w:sz w:val="24"/>
        </w:rPr>
        <w:t>专家名单在评标结束前不得带离评标区，且不得交由招标人保管。</w:t>
      </w:r>
    </w:p>
    <w:p>
      <w:pPr>
        <w:spacing w:line="360" w:lineRule="auto"/>
        <w:ind w:firstLine="482" w:firstLineChars="200"/>
        <w:rPr>
          <w:rFonts w:hint="eastAsia" w:ascii="宋体" w:hAnsi="宋体"/>
          <w:b/>
          <w:sz w:val="24"/>
        </w:rPr>
      </w:pPr>
      <w:r>
        <w:rPr>
          <w:rFonts w:hint="eastAsia" w:ascii="宋体" w:hAnsi="宋体"/>
          <w:b/>
          <w:sz w:val="24"/>
        </w:rPr>
        <w:t>2.</w:t>
      </w:r>
      <w:bookmarkStart w:id="13" w:name="_Toc307405980"/>
      <w:r>
        <w:rPr>
          <w:rFonts w:hint="eastAsia" w:ascii="宋体" w:hAnsi="宋体"/>
          <w:b/>
          <w:sz w:val="24"/>
        </w:rPr>
        <w:t>10 开标</w:t>
      </w:r>
      <w:bookmarkEnd w:id="13"/>
    </w:p>
    <w:p>
      <w:pPr>
        <w:spacing w:line="360" w:lineRule="auto"/>
        <w:ind w:firstLine="480" w:firstLineChars="200"/>
        <w:rPr>
          <w:rFonts w:hint="eastAsia" w:ascii="宋体" w:hAnsi="宋体"/>
          <w:sz w:val="24"/>
        </w:rPr>
      </w:pPr>
      <w:r>
        <w:rPr>
          <w:rFonts w:hint="eastAsia" w:ascii="宋体" w:hAnsi="宋体"/>
          <w:sz w:val="24"/>
        </w:rPr>
        <w:t>2.10.1准备开标所需的场地和</w:t>
      </w:r>
      <w:r>
        <w:rPr>
          <w:rFonts w:hint="eastAsia" w:ascii="宋体" w:hAnsi="宋体"/>
          <w:sz w:val="24"/>
          <w:lang w:val="en-US" w:eastAsia="zh-CN"/>
        </w:rPr>
        <w:t>设备</w:t>
      </w:r>
      <w:r>
        <w:rPr>
          <w:rFonts w:hint="eastAsia" w:ascii="宋体" w:hAnsi="宋体"/>
          <w:sz w:val="24"/>
        </w:rPr>
        <w:t>设施，指引招标人在确定的时间和场地进行开标。</w:t>
      </w:r>
    </w:p>
    <w:p>
      <w:pPr>
        <w:spacing w:line="360" w:lineRule="auto"/>
        <w:ind w:firstLine="480" w:firstLineChars="200"/>
        <w:rPr>
          <w:rFonts w:hint="eastAsia" w:ascii="宋体" w:hAnsi="宋体"/>
          <w:sz w:val="24"/>
          <w:lang w:val="en-US" w:eastAsia="zh-CN"/>
        </w:rPr>
      </w:pPr>
      <w:r>
        <w:rPr>
          <w:rFonts w:hint="eastAsia" w:ascii="宋体" w:hAnsi="宋体"/>
          <w:sz w:val="24"/>
        </w:rPr>
        <w:t>2.10.2</w:t>
      </w:r>
      <w:r>
        <w:rPr>
          <w:rFonts w:hint="eastAsia" w:ascii="宋体" w:hAnsi="宋体"/>
          <w:sz w:val="24"/>
          <w:lang w:val="en-US" w:eastAsia="zh-CN"/>
        </w:rPr>
        <w:t>提醒招标人通过电子交易开标系统发送开标短信，通知各潜在投标人准时进入网上开标大厅参与开标并确认开标结果。</w:t>
      </w:r>
    </w:p>
    <w:p>
      <w:pPr>
        <w:spacing w:line="360" w:lineRule="auto"/>
        <w:ind w:firstLine="480" w:firstLineChars="200"/>
        <w:rPr>
          <w:rFonts w:hint="eastAsia" w:ascii="宋体" w:hAnsi="宋体"/>
          <w:sz w:val="24"/>
        </w:rPr>
      </w:pPr>
      <w:r>
        <w:rPr>
          <w:rFonts w:hint="eastAsia" w:ascii="宋体" w:hAnsi="宋体"/>
          <w:sz w:val="24"/>
        </w:rPr>
        <w:t>2.10.3</w:t>
      </w:r>
      <w:r>
        <w:rPr>
          <w:rFonts w:hint="eastAsia" w:ascii="宋体" w:hAnsi="宋体"/>
          <w:sz w:val="24"/>
          <w:lang w:val="en-US" w:eastAsia="zh-CN"/>
        </w:rPr>
        <w:t>按招标文件规定开标时间开标解密，如遇开标系统故障及时告知中心工作人员，开标结束打印开标记录表存档。</w:t>
      </w:r>
    </w:p>
    <w:p>
      <w:pPr>
        <w:spacing w:line="360" w:lineRule="auto"/>
        <w:ind w:firstLine="480" w:firstLineChars="200"/>
        <w:rPr>
          <w:rFonts w:hint="eastAsia" w:ascii="宋体" w:hAnsi="宋体"/>
          <w:sz w:val="24"/>
        </w:rPr>
      </w:pPr>
      <w:r>
        <w:rPr>
          <w:rFonts w:hint="eastAsia" w:ascii="宋体" w:hAnsi="宋体"/>
          <w:sz w:val="24"/>
        </w:rPr>
        <w:t>2.10.4如开标时出现有废标情况的，应提醒招标人依据招标文件处理并记录；如开标过程出现异常情况的，应做记录并及时向部门领导和监督部门报告。</w:t>
      </w:r>
    </w:p>
    <w:p>
      <w:pPr>
        <w:spacing w:line="360" w:lineRule="auto"/>
        <w:ind w:firstLine="480" w:firstLineChars="200"/>
        <w:rPr>
          <w:rFonts w:hint="eastAsia" w:ascii="宋体" w:hAnsi="宋体"/>
          <w:sz w:val="24"/>
        </w:rPr>
      </w:pPr>
      <w:r>
        <w:rPr>
          <w:rFonts w:hint="eastAsia" w:ascii="宋体" w:hAnsi="宋体"/>
          <w:sz w:val="24"/>
        </w:rPr>
        <w:t>2.10.5 开标过程应核对开标记录内容；开标结束后应会同招标人及监督部门在开标记录表上签字确认。</w:t>
      </w:r>
    </w:p>
    <w:p>
      <w:pPr>
        <w:spacing w:line="360" w:lineRule="auto"/>
        <w:ind w:firstLine="482" w:firstLineChars="200"/>
        <w:outlineLvl w:val="2"/>
        <w:rPr>
          <w:rFonts w:hint="eastAsia" w:ascii="宋体" w:hAnsi="宋体"/>
          <w:b/>
          <w:sz w:val="24"/>
        </w:rPr>
      </w:pPr>
      <w:bookmarkStart w:id="14" w:name="_Toc307405981"/>
      <w:r>
        <w:rPr>
          <w:rFonts w:hint="eastAsia" w:ascii="宋体" w:hAnsi="宋体"/>
          <w:b/>
          <w:sz w:val="24"/>
        </w:rPr>
        <w:t>2.11评标</w:t>
      </w:r>
      <w:bookmarkEnd w:id="14"/>
    </w:p>
    <w:p>
      <w:pPr>
        <w:spacing w:line="360" w:lineRule="auto"/>
        <w:ind w:firstLine="480" w:firstLineChars="200"/>
        <w:rPr>
          <w:rFonts w:hint="eastAsia" w:ascii="宋体" w:hAnsi="宋体"/>
          <w:sz w:val="24"/>
        </w:rPr>
      </w:pPr>
      <w:r>
        <w:rPr>
          <w:rFonts w:hint="eastAsia" w:ascii="宋体" w:hAnsi="宋体"/>
          <w:sz w:val="24"/>
        </w:rPr>
        <w:t>2.11.1了解经办项目的基本情况，包括评标的时间、地点、程序、评标办法等；准备评标所需的场地和设施。</w:t>
      </w:r>
    </w:p>
    <w:p>
      <w:pPr>
        <w:spacing w:line="360" w:lineRule="auto"/>
        <w:ind w:firstLine="480" w:firstLineChars="200"/>
        <w:rPr>
          <w:rFonts w:hint="eastAsia" w:ascii="宋体" w:hAnsi="宋体"/>
          <w:sz w:val="24"/>
        </w:rPr>
      </w:pPr>
      <w:r>
        <w:rPr>
          <w:rFonts w:hint="eastAsia" w:ascii="宋体" w:hAnsi="宋体"/>
          <w:sz w:val="24"/>
        </w:rPr>
        <w:t>2.11.2指引招标人及有关人员按评标厅的管理规定办理进入评标厅的相关手续，提醒进入评标厅的人员将通讯工具存放于指定的地方。</w:t>
      </w:r>
    </w:p>
    <w:p>
      <w:pPr>
        <w:spacing w:line="360" w:lineRule="auto"/>
        <w:ind w:firstLine="480" w:firstLineChars="200"/>
        <w:rPr>
          <w:rFonts w:ascii="宋体" w:hAnsi="宋体"/>
          <w:sz w:val="24"/>
        </w:rPr>
      </w:pPr>
      <w:r>
        <w:rPr>
          <w:rFonts w:hint="eastAsia" w:ascii="宋体" w:hAnsi="宋体"/>
          <w:sz w:val="24"/>
        </w:rPr>
        <w:t>2.11.</w:t>
      </w:r>
      <w:r>
        <w:rPr>
          <w:rFonts w:hint="eastAsia" w:ascii="宋体" w:hAnsi="宋体"/>
          <w:sz w:val="24"/>
          <w:lang w:val="en-US" w:eastAsia="zh-CN"/>
        </w:rPr>
        <w:t>3</w:t>
      </w:r>
      <w:r>
        <w:rPr>
          <w:rFonts w:hint="eastAsia" w:ascii="宋体" w:hAnsi="宋体"/>
          <w:sz w:val="24"/>
        </w:rPr>
        <w:t>评标过程如需要对投标文件进行澄清，或按招标文件要求需要投标人答辩的，应配合做好澄清或答辩的相关服务工作。</w:t>
      </w:r>
    </w:p>
    <w:p>
      <w:pPr>
        <w:spacing w:line="360" w:lineRule="auto"/>
        <w:ind w:firstLine="480" w:firstLineChars="200"/>
        <w:rPr>
          <w:rFonts w:ascii="宋体" w:hAnsi="宋体"/>
          <w:sz w:val="24"/>
        </w:rPr>
      </w:pPr>
      <w:r>
        <w:rPr>
          <w:rFonts w:hint="eastAsia" w:ascii="宋体" w:hAnsi="宋体"/>
          <w:sz w:val="24"/>
        </w:rPr>
        <w:t>2.11.</w:t>
      </w:r>
      <w:r>
        <w:rPr>
          <w:rFonts w:hint="eastAsia" w:ascii="宋体" w:hAnsi="宋体"/>
          <w:sz w:val="24"/>
          <w:lang w:val="en-US" w:eastAsia="zh-CN"/>
        </w:rPr>
        <w:t>4</w:t>
      </w:r>
      <w:r>
        <w:rPr>
          <w:rFonts w:ascii="宋体" w:hAnsi="宋体"/>
          <w:sz w:val="24"/>
        </w:rPr>
        <w:t xml:space="preserve"> </w:t>
      </w:r>
      <w:r>
        <w:rPr>
          <w:rFonts w:hint="eastAsia" w:ascii="宋体" w:hAnsi="宋体"/>
          <w:sz w:val="24"/>
        </w:rPr>
        <w:t>评标期间如发现评委有违反评标纪律的，应及时向监督部门报告。</w:t>
      </w:r>
    </w:p>
    <w:p>
      <w:pPr>
        <w:spacing w:line="360" w:lineRule="auto"/>
        <w:ind w:firstLine="480" w:firstLineChars="200"/>
        <w:rPr>
          <w:rFonts w:hint="eastAsia" w:ascii="宋体" w:hAnsi="宋体"/>
          <w:sz w:val="24"/>
        </w:rPr>
      </w:pPr>
      <w:r>
        <w:rPr>
          <w:rFonts w:hint="eastAsia" w:ascii="宋体" w:hAnsi="宋体"/>
          <w:sz w:val="24"/>
        </w:rPr>
        <w:t>2.11.</w:t>
      </w:r>
      <w:r>
        <w:rPr>
          <w:rFonts w:hint="eastAsia" w:ascii="宋体" w:hAnsi="宋体"/>
          <w:sz w:val="24"/>
          <w:lang w:val="en-US" w:eastAsia="zh-CN"/>
        </w:rPr>
        <w:t>5</w:t>
      </w:r>
      <w:r>
        <w:rPr>
          <w:rFonts w:hint="eastAsia" w:ascii="宋体" w:hAnsi="宋体"/>
          <w:sz w:val="24"/>
        </w:rPr>
        <w:t>评标期间，工作人员可向评标委员会成员提供必要的法规书籍资料，积极协助招标人做好会务和后勤工作，确保评标工作有序进行。</w:t>
      </w:r>
    </w:p>
    <w:p>
      <w:pPr>
        <w:spacing w:line="360" w:lineRule="auto"/>
        <w:ind w:firstLine="540" w:firstLineChars="225"/>
        <w:rPr>
          <w:rFonts w:hint="eastAsia" w:ascii="宋体" w:hAnsi="宋体"/>
          <w:sz w:val="24"/>
        </w:rPr>
      </w:pPr>
      <w:r>
        <w:rPr>
          <w:rFonts w:hint="eastAsia" w:ascii="宋体" w:hAnsi="宋体"/>
          <w:sz w:val="24"/>
        </w:rPr>
        <w:t>2.11.</w:t>
      </w:r>
      <w:r>
        <w:rPr>
          <w:rFonts w:hint="eastAsia" w:ascii="宋体" w:hAnsi="宋体"/>
          <w:sz w:val="24"/>
          <w:lang w:val="en-US" w:eastAsia="zh-CN"/>
        </w:rPr>
        <w:t>6</w:t>
      </w:r>
      <w:r>
        <w:rPr>
          <w:rFonts w:ascii="宋体" w:hAnsi="宋体"/>
          <w:sz w:val="24"/>
        </w:rPr>
        <w:t xml:space="preserve"> </w:t>
      </w:r>
      <w:r>
        <w:rPr>
          <w:rFonts w:hint="eastAsia" w:ascii="宋体" w:hAnsi="宋体"/>
          <w:sz w:val="24"/>
        </w:rPr>
        <w:t>评标工作结束后，接收并妥善保管评标报告等评标过程的有关资料，指引有关人员交还评标厅出入证，离开评标区，取回存放的通讯工具。</w:t>
      </w:r>
    </w:p>
    <w:p>
      <w:pPr>
        <w:spacing w:line="360" w:lineRule="auto"/>
        <w:ind w:firstLine="482" w:firstLineChars="200"/>
        <w:outlineLvl w:val="2"/>
        <w:rPr>
          <w:rFonts w:hint="eastAsia" w:ascii="宋体" w:hAnsi="宋体"/>
          <w:b/>
          <w:sz w:val="24"/>
        </w:rPr>
      </w:pPr>
      <w:bookmarkStart w:id="15" w:name="_Toc307405983"/>
      <w:r>
        <w:rPr>
          <w:rFonts w:hint="eastAsia" w:ascii="宋体" w:hAnsi="宋体"/>
          <w:b/>
          <w:sz w:val="24"/>
        </w:rPr>
        <w:t>2.12 中标候选人公示</w:t>
      </w:r>
      <w:bookmarkEnd w:id="15"/>
    </w:p>
    <w:p>
      <w:pPr>
        <w:spacing w:line="360" w:lineRule="auto"/>
        <w:ind w:firstLine="480" w:firstLineChars="200"/>
        <w:rPr>
          <w:rFonts w:hint="eastAsia" w:ascii="宋体" w:hAnsi="宋体"/>
          <w:sz w:val="24"/>
        </w:rPr>
      </w:pPr>
      <w:r>
        <w:rPr>
          <w:rFonts w:hint="eastAsia" w:ascii="宋体" w:hAnsi="宋体"/>
          <w:sz w:val="24"/>
        </w:rPr>
        <w:t>2.12.1 接收招标人提交的中标候选人公示的有关资料（含电子文档），</w:t>
      </w:r>
      <w:r>
        <w:rPr>
          <w:rFonts w:hint="eastAsia" w:ascii="宋体" w:hAnsi="宋体"/>
          <w:sz w:val="24"/>
          <w:lang w:val="en-US" w:eastAsia="zh-CN"/>
        </w:rPr>
        <w:t>同时在线</w:t>
      </w:r>
      <w:r>
        <w:rPr>
          <w:rFonts w:hint="eastAsia" w:ascii="宋体" w:hAnsi="宋体"/>
          <w:sz w:val="24"/>
        </w:rPr>
        <w:t>核对</w:t>
      </w:r>
      <w:r>
        <w:rPr>
          <w:rFonts w:hint="eastAsia" w:ascii="宋体" w:hAnsi="宋体"/>
          <w:sz w:val="24"/>
          <w:lang w:val="en-US" w:eastAsia="zh-CN"/>
        </w:rPr>
        <w:t>其</w:t>
      </w:r>
      <w:r>
        <w:rPr>
          <w:rFonts w:hint="eastAsia" w:ascii="宋体" w:hAnsi="宋体"/>
          <w:sz w:val="24"/>
        </w:rPr>
        <w:t>发布公示的电子文档与经招标人盖章的纸质文件的内容是否一致。不一致的退回招标人修改；核对无误的应及时在交易中心网站发布公示。</w:t>
      </w:r>
    </w:p>
    <w:p>
      <w:pPr>
        <w:spacing w:line="360" w:lineRule="auto"/>
        <w:ind w:firstLine="480" w:firstLineChars="200"/>
        <w:rPr>
          <w:rFonts w:ascii="宋体" w:hAnsi="宋体"/>
          <w:sz w:val="24"/>
        </w:rPr>
      </w:pPr>
      <w:r>
        <w:rPr>
          <w:rFonts w:hint="eastAsia" w:ascii="宋体" w:hAnsi="宋体"/>
          <w:sz w:val="24"/>
        </w:rPr>
        <w:t>2.12.2 中标候选人公示时间不少于3日。公示内容</w:t>
      </w:r>
      <w:r>
        <w:rPr>
          <w:rFonts w:hint="eastAsia" w:ascii="宋体" w:hAnsi="宋体"/>
          <w:sz w:val="24"/>
          <w:lang w:val="en-US" w:eastAsia="zh-CN"/>
        </w:rPr>
        <w:t>包括但不限于</w:t>
      </w:r>
      <w:r>
        <w:rPr>
          <w:rFonts w:hint="eastAsia" w:ascii="宋体" w:hAnsi="宋体"/>
          <w:sz w:val="24"/>
        </w:rPr>
        <w:t>如下：</w:t>
      </w:r>
    </w:p>
    <w:p>
      <w:pPr>
        <w:spacing w:line="360" w:lineRule="auto"/>
        <w:ind w:firstLine="480" w:firstLineChars="200"/>
        <w:rPr>
          <w:rFonts w:ascii="宋体" w:hAnsi="宋体"/>
          <w:sz w:val="24"/>
        </w:rPr>
      </w:pPr>
      <w:r>
        <w:rPr>
          <w:rFonts w:ascii="宋体" w:hAnsi="宋体"/>
          <w:sz w:val="24"/>
        </w:rPr>
        <w:t>1</w:t>
      </w:r>
      <w:r>
        <w:rPr>
          <w:rFonts w:hint="eastAsia" w:ascii="宋体" w:hAnsi="宋体"/>
          <w:sz w:val="24"/>
        </w:rPr>
        <w:t>）招标项目名称；</w:t>
      </w:r>
    </w:p>
    <w:p>
      <w:pPr>
        <w:spacing w:line="360" w:lineRule="auto"/>
        <w:ind w:firstLine="480" w:firstLineChars="200"/>
        <w:rPr>
          <w:rFonts w:ascii="宋体" w:hAnsi="宋体"/>
          <w:sz w:val="24"/>
        </w:rPr>
      </w:pPr>
      <w:r>
        <w:rPr>
          <w:rFonts w:hint="eastAsia" w:ascii="宋体" w:hAnsi="宋体"/>
          <w:sz w:val="24"/>
        </w:rPr>
        <w:t>2）中标候选人名称、排名；</w:t>
      </w:r>
    </w:p>
    <w:p>
      <w:pPr>
        <w:spacing w:line="360" w:lineRule="auto"/>
        <w:ind w:firstLine="480" w:firstLineChars="200"/>
        <w:rPr>
          <w:rFonts w:hint="eastAsia" w:ascii="宋体" w:hAnsi="宋体"/>
          <w:sz w:val="24"/>
        </w:rPr>
      </w:pPr>
      <w:r>
        <w:rPr>
          <w:rFonts w:hint="eastAsia" w:ascii="宋体" w:hAnsi="宋体"/>
          <w:sz w:val="24"/>
        </w:rPr>
        <w:t>3）投标报价、工期、项目负责人及执业证书号；</w:t>
      </w:r>
    </w:p>
    <w:p>
      <w:pPr>
        <w:spacing w:line="360" w:lineRule="auto"/>
        <w:ind w:firstLine="480" w:firstLineChars="200"/>
        <w:rPr>
          <w:rFonts w:hint="eastAsia" w:ascii="宋体" w:hAnsi="宋体"/>
          <w:sz w:val="24"/>
        </w:rPr>
      </w:pPr>
      <w:r>
        <w:rPr>
          <w:rFonts w:hint="eastAsia" w:ascii="宋体" w:hAnsi="宋体"/>
          <w:sz w:val="24"/>
        </w:rPr>
        <w:t>4）公示期限，提出异议、投诉的时间、地点及受理人。</w:t>
      </w:r>
    </w:p>
    <w:p>
      <w:pPr>
        <w:spacing w:line="360" w:lineRule="auto"/>
        <w:ind w:firstLine="472" w:firstLineChars="196"/>
        <w:outlineLvl w:val="2"/>
        <w:rPr>
          <w:rFonts w:hint="default" w:ascii="宋体" w:hAnsi="宋体" w:eastAsia="宋体"/>
          <w:b/>
          <w:sz w:val="24"/>
          <w:highlight w:val="yellow"/>
          <w:lang w:val="en-US" w:eastAsia="zh-CN"/>
        </w:rPr>
      </w:pPr>
      <w:bookmarkStart w:id="16" w:name="_Toc307405986"/>
      <w:r>
        <w:rPr>
          <w:rFonts w:hint="eastAsia" w:ascii="宋体" w:hAnsi="宋体"/>
          <w:b/>
          <w:sz w:val="24"/>
        </w:rPr>
        <w:t>2.1</w:t>
      </w:r>
      <w:r>
        <w:rPr>
          <w:rFonts w:hint="eastAsia" w:ascii="宋体" w:hAnsi="宋体"/>
          <w:b/>
          <w:sz w:val="24"/>
          <w:lang w:val="en-US" w:eastAsia="zh-CN"/>
        </w:rPr>
        <w:t>3</w:t>
      </w:r>
      <w:r>
        <w:rPr>
          <w:rFonts w:hint="eastAsia" w:ascii="宋体" w:hAnsi="宋体"/>
          <w:b/>
          <w:sz w:val="24"/>
          <w:highlight w:val="none"/>
        </w:rPr>
        <w:t>确认中标通知书</w:t>
      </w:r>
      <w:bookmarkEnd w:id="16"/>
      <w:r>
        <w:rPr>
          <w:rFonts w:hint="eastAsia" w:ascii="宋体" w:hAnsi="宋体"/>
          <w:b/>
          <w:sz w:val="24"/>
          <w:highlight w:val="none"/>
          <w:lang w:val="en-US" w:eastAsia="zh-CN"/>
        </w:rPr>
        <w:t>及核对中标结果公告</w:t>
      </w:r>
    </w:p>
    <w:p>
      <w:pPr>
        <w:spacing w:line="360" w:lineRule="auto"/>
        <w:ind w:firstLine="480" w:firstLineChars="200"/>
        <w:rPr>
          <w:rFonts w:hint="eastAsia" w:ascii="宋体" w:hAnsi="宋体"/>
          <w:sz w:val="24"/>
        </w:rPr>
      </w:pPr>
      <w:r>
        <w:rPr>
          <w:rFonts w:hint="eastAsia" w:ascii="宋体" w:hAnsi="宋体"/>
          <w:sz w:val="24"/>
        </w:rPr>
        <w:t>2</w:t>
      </w:r>
      <w:r>
        <w:rPr>
          <w:rFonts w:hint="eastAsia" w:ascii="宋体" w:hAnsi="宋体"/>
          <w:sz w:val="24"/>
          <w:lang w:val="en-US" w:eastAsia="zh-CN"/>
        </w:rPr>
        <w:t>.</w:t>
      </w:r>
      <w:r>
        <w:rPr>
          <w:rFonts w:hint="eastAsia" w:ascii="宋体" w:hAnsi="宋体"/>
          <w:sz w:val="24"/>
        </w:rPr>
        <w:t>1</w:t>
      </w:r>
      <w:r>
        <w:rPr>
          <w:rFonts w:hint="eastAsia" w:ascii="宋体" w:hAnsi="宋体"/>
          <w:sz w:val="24"/>
          <w:lang w:val="en-US" w:eastAsia="zh-CN"/>
        </w:rPr>
        <w:t>3.</w:t>
      </w:r>
      <w:r>
        <w:rPr>
          <w:rFonts w:hint="eastAsia" w:ascii="宋体" w:hAnsi="宋体"/>
          <w:sz w:val="24"/>
        </w:rPr>
        <w:t>1核实中标</w:t>
      </w:r>
      <w:r>
        <w:rPr>
          <w:rFonts w:hint="eastAsia" w:ascii="宋体" w:hAnsi="宋体"/>
          <w:sz w:val="24"/>
          <w:lang w:val="en-US" w:eastAsia="zh-CN"/>
        </w:rPr>
        <w:t>候选人公示</w:t>
      </w:r>
      <w:r>
        <w:rPr>
          <w:rFonts w:hint="eastAsia" w:ascii="宋体" w:hAnsi="宋体"/>
          <w:sz w:val="24"/>
        </w:rPr>
        <w:t>是否</w:t>
      </w:r>
      <w:r>
        <w:rPr>
          <w:rFonts w:hint="eastAsia" w:ascii="宋体" w:hAnsi="宋体"/>
          <w:sz w:val="24"/>
          <w:lang w:val="en-US" w:eastAsia="zh-CN"/>
        </w:rPr>
        <w:t>有异议</w:t>
      </w:r>
      <w:r>
        <w:rPr>
          <w:rFonts w:hint="eastAsia" w:ascii="宋体" w:hAnsi="宋体"/>
          <w:sz w:val="24"/>
        </w:rPr>
        <w:t>，按归档要求收集和整理项目招标资料，资料不全的应要求招标人补充，并暂缓办理中标通知书；</w:t>
      </w:r>
    </w:p>
    <w:p>
      <w:pPr>
        <w:spacing w:line="360" w:lineRule="auto"/>
        <w:ind w:firstLine="480" w:firstLineChars="200"/>
        <w:rPr>
          <w:rFonts w:hint="default" w:ascii="宋体" w:hAnsi="宋体" w:eastAsia="宋体"/>
          <w:sz w:val="24"/>
          <w:highlight w:val="yellow"/>
          <w:lang w:val="en-US" w:eastAsia="zh-CN"/>
        </w:rPr>
      </w:pPr>
      <w:r>
        <w:rPr>
          <w:rFonts w:hint="eastAsia" w:ascii="宋体" w:hAnsi="宋体"/>
          <w:sz w:val="24"/>
        </w:rPr>
        <w:t>2.1</w:t>
      </w:r>
      <w:r>
        <w:rPr>
          <w:rFonts w:hint="eastAsia" w:ascii="宋体" w:hAnsi="宋体"/>
          <w:sz w:val="24"/>
          <w:lang w:val="en-US" w:eastAsia="zh-CN"/>
        </w:rPr>
        <w:t>3</w:t>
      </w:r>
      <w:r>
        <w:rPr>
          <w:rFonts w:hint="eastAsia" w:ascii="宋体" w:hAnsi="宋体"/>
          <w:sz w:val="24"/>
        </w:rPr>
        <w:t>.2在确认中标通知书前，应核对中标通知书内容的完整性和准确性，公示期满无投诉的项目应按程序及时提交部门领导审核和中心领导审批。中心领导审批同意后，及时办理中标通知书的确认手续，并做好中标通知书的领取登记。</w:t>
      </w:r>
      <w:r>
        <w:rPr>
          <w:rFonts w:hint="eastAsia" w:ascii="宋体" w:hAnsi="宋体"/>
          <w:sz w:val="24"/>
          <w:highlight w:val="none"/>
          <w:lang w:val="en-US" w:eastAsia="zh-CN"/>
        </w:rPr>
        <w:t>同时核对其招标人或招标代理机构在公共资源交易平台电子交易系统上传的中标结果公告后确认发布。</w:t>
      </w:r>
    </w:p>
    <w:p>
      <w:pPr>
        <w:spacing w:line="360" w:lineRule="auto"/>
        <w:ind w:firstLine="470" w:firstLineChars="196"/>
        <w:outlineLvl w:val="2"/>
        <w:rPr>
          <w:rFonts w:hint="eastAsia" w:ascii="宋体" w:hAnsi="宋体"/>
          <w:sz w:val="24"/>
        </w:rPr>
      </w:pPr>
      <w:bookmarkStart w:id="17" w:name="_Toc307405987"/>
      <w:r>
        <w:rPr>
          <w:rFonts w:hint="eastAsia" w:ascii="宋体" w:hAnsi="宋体"/>
          <w:sz w:val="24"/>
        </w:rPr>
        <w:t>2.1</w:t>
      </w:r>
      <w:r>
        <w:rPr>
          <w:rFonts w:hint="eastAsia" w:ascii="宋体" w:hAnsi="宋体"/>
          <w:sz w:val="24"/>
          <w:lang w:val="en-US" w:eastAsia="zh-CN"/>
        </w:rPr>
        <w:t>3</w:t>
      </w:r>
      <w:r>
        <w:rPr>
          <w:rFonts w:hint="eastAsia" w:ascii="宋体" w:hAnsi="宋体"/>
          <w:sz w:val="24"/>
        </w:rPr>
        <w:t>.3中标通知书应包括以下的主要内容，且不得对内容进行涂改。</w:t>
      </w:r>
    </w:p>
    <w:p>
      <w:pPr>
        <w:spacing w:line="360" w:lineRule="auto"/>
        <w:ind w:firstLine="480" w:firstLineChars="200"/>
        <w:rPr>
          <w:rFonts w:ascii="宋体" w:hAnsi="宋体"/>
          <w:sz w:val="24"/>
        </w:rPr>
      </w:pPr>
      <w:r>
        <w:rPr>
          <w:rFonts w:ascii="宋体" w:hAnsi="宋体"/>
          <w:sz w:val="24"/>
        </w:rPr>
        <w:t>1</w:t>
      </w:r>
      <w:r>
        <w:rPr>
          <w:rFonts w:hint="eastAsia" w:ascii="宋体" w:hAnsi="宋体"/>
          <w:sz w:val="24"/>
        </w:rPr>
        <w:t>）招标项目名称；</w:t>
      </w:r>
    </w:p>
    <w:p>
      <w:pPr>
        <w:spacing w:line="360" w:lineRule="auto"/>
        <w:ind w:firstLine="480" w:firstLineChars="200"/>
        <w:rPr>
          <w:rFonts w:ascii="宋体" w:hAnsi="宋体"/>
          <w:sz w:val="24"/>
        </w:rPr>
      </w:pPr>
      <w:r>
        <w:rPr>
          <w:rFonts w:ascii="宋体" w:hAnsi="宋体"/>
          <w:sz w:val="24"/>
        </w:rPr>
        <w:t>2</w:t>
      </w:r>
      <w:r>
        <w:rPr>
          <w:rFonts w:hint="eastAsia" w:ascii="宋体" w:hAnsi="宋体"/>
          <w:sz w:val="24"/>
        </w:rPr>
        <w:t>）中标人名称；</w:t>
      </w:r>
    </w:p>
    <w:p>
      <w:pPr>
        <w:spacing w:line="360" w:lineRule="auto"/>
        <w:ind w:firstLine="480" w:firstLineChars="200"/>
        <w:rPr>
          <w:rFonts w:hint="eastAsia" w:ascii="宋体" w:hAnsi="宋体"/>
          <w:sz w:val="24"/>
        </w:rPr>
      </w:pPr>
      <w:r>
        <w:rPr>
          <w:rFonts w:ascii="宋体" w:hAnsi="宋体"/>
          <w:sz w:val="24"/>
        </w:rPr>
        <w:t>3</w:t>
      </w:r>
      <w:r>
        <w:rPr>
          <w:rFonts w:hint="eastAsia" w:ascii="宋体" w:hAnsi="宋体"/>
          <w:sz w:val="24"/>
        </w:rPr>
        <w:t>）中标内容；</w:t>
      </w:r>
    </w:p>
    <w:p>
      <w:pPr>
        <w:spacing w:line="360" w:lineRule="auto"/>
        <w:ind w:firstLine="480" w:firstLineChars="200"/>
        <w:rPr>
          <w:rFonts w:ascii="宋体" w:hAnsi="宋体"/>
          <w:sz w:val="24"/>
        </w:rPr>
      </w:pPr>
      <w:r>
        <w:rPr>
          <w:rFonts w:hint="eastAsia" w:ascii="宋体" w:hAnsi="宋体"/>
          <w:sz w:val="24"/>
        </w:rPr>
        <w:t>4）中标价款、中标费率、工期等；</w:t>
      </w:r>
    </w:p>
    <w:p>
      <w:pPr>
        <w:spacing w:line="360" w:lineRule="auto"/>
        <w:ind w:firstLine="480" w:firstLineChars="200"/>
        <w:rPr>
          <w:rFonts w:ascii="宋体" w:hAnsi="宋体"/>
          <w:sz w:val="24"/>
        </w:rPr>
      </w:pPr>
      <w:r>
        <w:rPr>
          <w:rFonts w:hint="eastAsia" w:ascii="宋体" w:hAnsi="宋体"/>
          <w:sz w:val="24"/>
        </w:rPr>
        <w:t>5）项目负责人；</w:t>
      </w:r>
    </w:p>
    <w:p>
      <w:pPr>
        <w:spacing w:line="360" w:lineRule="auto"/>
        <w:ind w:firstLine="480" w:firstLineChars="200"/>
        <w:rPr>
          <w:rFonts w:hint="eastAsia" w:ascii="宋体" w:hAnsi="宋体"/>
          <w:sz w:val="24"/>
        </w:rPr>
      </w:pPr>
      <w:r>
        <w:rPr>
          <w:rFonts w:hint="eastAsia" w:ascii="宋体" w:hAnsi="宋体"/>
          <w:sz w:val="24"/>
        </w:rPr>
        <w:t>6）招标人单位印章和法定代表人签字，签字日期（委托招标的，加盖代理机构印章和法定代表人签字，签字日期）；</w:t>
      </w:r>
    </w:p>
    <w:p>
      <w:pPr>
        <w:spacing w:line="360" w:lineRule="auto"/>
        <w:ind w:firstLine="480" w:firstLineChars="200"/>
        <w:rPr>
          <w:rFonts w:hint="eastAsia" w:ascii="宋体" w:hAnsi="宋体" w:cs="TTF46827ACtCID-WinCharSetFFFF-H"/>
          <w:kern w:val="0"/>
          <w:sz w:val="24"/>
        </w:rPr>
      </w:pPr>
      <w:r>
        <w:rPr>
          <w:rFonts w:hint="eastAsia" w:ascii="宋体" w:hAnsi="宋体"/>
          <w:sz w:val="24"/>
        </w:rPr>
        <w:t>7）交易中心的中标通知书确认</w:t>
      </w:r>
      <w:r>
        <w:rPr>
          <w:rFonts w:hint="eastAsia" w:ascii="宋体" w:hAnsi="宋体"/>
          <w:sz w:val="24"/>
          <w:lang w:val="en-US" w:eastAsia="zh-CN"/>
        </w:rPr>
        <w:t>盖</w:t>
      </w:r>
      <w:r>
        <w:rPr>
          <w:rFonts w:hint="eastAsia" w:ascii="宋体" w:hAnsi="宋体"/>
          <w:sz w:val="24"/>
        </w:rPr>
        <w:t>章及盖章日期</w:t>
      </w:r>
      <w:r>
        <w:rPr>
          <w:rFonts w:hint="eastAsia" w:ascii="宋体" w:hAnsi="宋体" w:cs="TTF46827ACtCID-WinCharSetFFFF-H"/>
          <w:kern w:val="0"/>
          <w:sz w:val="24"/>
        </w:rPr>
        <w:t>。</w:t>
      </w:r>
    </w:p>
    <w:p>
      <w:pPr>
        <w:spacing w:line="360" w:lineRule="auto"/>
        <w:ind w:firstLine="482" w:firstLineChars="200"/>
        <w:outlineLvl w:val="2"/>
        <w:rPr>
          <w:rFonts w:hint="eastAsia" w:ascii="宋体" w:hAnsi="宋体"/>
          <w:b/>
          <w:sz w:val="24"/>
        </w:rPr>
      </w:pPr>
      <w:bookmarkStart w:id="18" w:name="_Toc307405985"/>
      <w:r>
        <w:rPr>
          <w:rFonts w:hint="eastAsia" w:ascii="宋体" w:hAnsi="宋体"/>
          <w:b/>
          <w:sz w:val="24"/>
        </w:rPr>
        <w:t>2.1</w:t>
      </w:r>
      <w:r>
        <w:rPr>
          <w:rFonts w:hint="eastAsia" w:ascii="宋体" w:hAnsi="宋体"/>
          <w:b/>
          <w:sz w:val="24"/>
          <w:lang w:val="en-US" w:eastAsia="zh-CN"/>
        </w:rPr>
        <w:t>4</w:t>
      </w:r>
      <w:r>
        <w:rPr>
          <w:rFonts w:hint="eastAsia" w:ascii="宋体" w:hAnsi="宋体"/>
          <w:b/>
          <w:sz w:val="24"/>
        </w:rPr>
        <w:t>退还投标保证金</w:t>
      </w:r>
    </w:p>
    <w:p>
      <w:pPr>
        <w:spacing w:line="360" w:lineRule="auto"/>
        <w:ind w:firstLine="420"/>
        <w:rPr>
          <w:rFonts w:hint="eastAsia" w:ascii="宋体" w:hAnsi="宋体"/>
          <w:sz w:val="24"/>
        </w:rPr>
      </w:pPr>
      <w:r>
        <w:rPr>
          <w:rFonts w:hint="eastAsia" w:ascii="宋体" w:hAnsi="宋体"/>
          <w:sz w:val="24"/>
        </w:rPr>
        <w:t>2.1</w:t>
      </w:r>
      <w:r>
        <w:rPr>
          <w:rFonts w:hint="eastAsia" w:ascii="宋体" w:hAnsi="宋体"/>
          <w:sz w:val="24"/>
          <w:lang w:val="en-US" w:eastAsia="zh-CN"/>
        </w:rPr>
        <w:t>4</w:t>
      </w:r>
      <w:r>
        <w:rPr>
          <w:rFonts w:hint="eastAsia" w:ascii="宋体" w:hAnsi="宋体"/>
          <w:sz w:val="24"/>
        </w:rPr>
        <w:t>.1、招标人</w:t>
      </w:r>
      <w:r>
        <w:rPr>
          <w:rFonts w:hint="eastAsia" w:ascii="宋体" w:hAnsi="宋体"/>
          <w:sz w:val="24"/>
          <w:lang w:val="en-US" w:eastAsia="zh-CN"/>
        </w:rPr>
        <w:t>与中标人签订合同后，</w:t>
      </w:r>
      <w:r>
        <w:rPr>
          <w:rFonts w:hint="eastAsia" w:ascii="宋体" w:hAnsi="宋体"/>
          <w:sz w:val="24"/>
        </w:rPr>
        <w:t>向交易中心提出退还</w:t>
      </w:r>
      <w:r>
        <w:rPr>
          <w:rFonts w:hint="eastAsia" w:ascii="宋体" w:hAnsi="宋体"/>
          <w:sz w:val="24"/>
          <w:lang w:val="en-US" w:eastAsia="zh-CN"/>
        </w:rPr>
        <w:t>中标人</w:t>
      </w:r>
      <w:r>
        <w:rPr>
          <w:rFonts w:hint="eastAsia" w:ascii="宋体" w:hAnsi="宋体"/>
          <w:sz w:val="24"/>
        </w:rPr>
        <w:t>保证金申请，交易中心通过投标保证金缴交系统按招标文件约定时间从原渠道退还保证金。</w:t>
      </w:r>
    </w:p>
    <w:p>
      <w:pPr>
        <w:spacing w:line="360" w:lineRule="auto"/>
        <w:ind w:firstLine="482" w:firstLineChars="200"/>
        <w:outlineLvl w:val="2"/>
        <w:rPr>
          <w:rFonts w:hint="eastAsia" w:ascii="宋体" w:hAnsi="宋体"/>
          <w:b/>
          <w:sz w:val="24"/>
        </w:rPr>
      </w:pPr>
    </w:p>
    <w:p>
      <w:pPr>
        <w:spacing w:line="360" w:lineRule="auto"/>
        <w:ind w:firstLine="482" w:firstLineChars="200"/>
        <w:outlineLvl w:val="2"/>
        <w:rPr>
          <w:rFonts w:hint="eastAsia" w:ascii="宋体" w:hAnsi="宋体"/>
          <w:b/>
          <w:sz w:val="24"/>
        </w:rPr>
      </w:pPr>
      <w:r>
        <w:rPr>
          <w:rFonts w:hint="eastAsia" w:ascii="宋体" w:hAnsi="宋体"/>
          <w:b/>
          <w:sz w:val="24"/>
        </w:rPr>
        <w:t>2.1</w:t>
      </w:r>
      <w:r>
        <w:rPr>
          <w:rFonts w:hint="eastAsia" w:ascii="宋体" w:hAnsi="宋体"/>
          <w:b/>
          <w:sz w:val="24"/>
          <w:lang w:val="en-US" w:eastAsia="zh-CN"/>
        </w:rPr>
        <w:t>5</w:t>
      </w:r>
      <w:r>
        <w:rPr>
          <w:rFonts w:hint="eastAsia" w:ascii="宋体" w:hAnsi="宋体"/>
          <w:b/>
          <w:sz w:val="24"/>
        </w:rPr>
        <w:t>档案</w:t>
      </w:r>
      <w:bookmarkEnd w:id="18"/>
      <w:r>
        <w:rPr>
          <w:rFonts w:hint="eastAsia" w:ascii="宋体" w:hAnsi="宋体"/>
          <w:b/>
          <w:sz w:val="24"/>
        </w:rPr>
        <w:t>归档</w:t>
      </w:r>
    </w:p>
    <w:p>
      <w:pPr>
        <w:spacing w:line="360" w:lineRule="auto"/>
        <w:ind w:firstLine="480" w:firstLineChars="200"/>
        <w:rPr>
          <w:rFonts w:hint="eastAsia" w:ascii="宋体" w:hAnsi="宋体"/>
          <w:sz w:val="24"/>
        </w:rPr>
      </w:pPr>
      <w:r>
        <w:rPr>
          <w:rFonts w:hint="eastAsia" w:ascii="宋体" w:hAnsi="宋体"/>
          <w:sz w:val="24"/>
        </w:rPr>
        <w:t>2.1</w:t>
      </w:r>
      <w:r>
        <w:rPr>
          <w:rFonts w:hint="eastAsia" w:ascii="宋体" w:hAnsi="宋体"/>
          <w:sz w:val="24"/>
          <w:lang w:val="en-US" w:eastAsia="zh-CN"/>
        </w:rPr>
        <w:t>5</w:t>
      </w:r>
      <w:r>
        <w:rPr>
          <w:rFonts w:hint="eastAsia" w:ascii="宋体" w:hAnsi="宋体"/>
          <w:sz w:val="24"/>
        </w:rPr>
        <w:t>.1 发放中标通知书后，及时收集该项目所有资料，并检查档案中每个环节的资料是否存在缺失，如有缺失应该及时通知招标人把资料补齐归档并装订成册，确保每个工程项目资料完整无缺；</w:t>
      </w:r>
    </w:p>
    <w:p>
      <w:pPr>
        <w:spacing w:line="360" w:lineRule="auto"/>
        <w:ind w:firstLine="480" w:firstLineChars="200"/>
        <w:rPr>
          <w:rFonts w:hint="eastAsia" w:ascii="宋体" w:hAnsi="宋体"/>
          <w:sz w:val="24"/>
        </w:rPr>
      </w:pPr>
      <w:r>
        <w:rPr>
          <w:rFonts w:hint="eastAsia" w:ascii="宋体" w:hAnsi="宋体"/>
          <w:sz w:val="24"/>
        </w:rPr>
        <w:t>2</w:t>
      </w:r>
      <w:r>
        <w:rPr>
          <w:rFonts w:hint="eastAsia" w:ascii="宋体" w:hAnsi="宋体"/>
          <w:sz w:val="24"/>
          <w:lang w:val="en-US" w:eastAsia="zh-CN"/>
        </w:rPr>
        <w:t>.</w:t>
      </w:r>
      <w:r>
        <w:rPr>
          <w:rFonts w:hint="eastAsia" w:ascii="宋体" w:hAnsi="宋体"/>
          <w:sz w:val="24"/>
        </w:rPr>
        <w:t>1</w:t>
      </w:r>
      <w:r>
        <w:rPr>
          <w:rFonts w:hint="eastAsia" w:ascii="宋体" w:hAnsi="宋体"/>
          <w:sz w:val="24"/>
          <w:lang w:val="en-US" w:eastAsia="zh-CN"/>
        </w:rPr>
        <w:t>5.</w:t>
      </w:r>
      <w:r>
        <w:rPr>
          <w:rFonts w:hint="eastAsia" w:ascii="宋体" w:hAnsi="宋体"/>
          <w:sz w:val="24"/>
        </w:rPr>
        <w:t>2</w:t>
      </w:r>
      <w:r>
        <w:rPr>
          <w:rFonts w:hint="eastAsia" w:ascii="宋体" w:hAnsi="宋体"/>
          <w:sz w:val="24"/>
          <w:lang w:val="en-US" w:eastAsia="zh-CN"/>
        </w:rPr>
        <w:t xml:space="preserve"> </w:t>
      </w:r>
      <w:r>
        <w:rPr>
          <w:rFonts w:hint="eastAsia" w:ascii="宋体" w:hAnsi="宋体"/>
          <w:sz w:val="24"/>
        </w:rPr>
        <w:t>每项工程项目完成交易后，及时把工程基本信息</w:t>
      </w:r>
      <w:r>
        <w:rPr>
          <w:rFonts w:hint="eastAsia" w:ascii="宋体" w:hAnsi="宋体"/>
          <w:sz w:val="24"/>
          <w:lang w:val="en-US" w:eastAsia="zh-CN"/>
        </w:rPr>
        <w:t>存在电子档案系统</w:t>
      </w:r>
      <w:r>
        <w:rPr>
          <w:rFonts w:hint="eastAsia" w:ascii="宋体" w:hAnsi="宋体"/>
          <w:sz w:val="24"/>
        </w:rPr>
        <w:t>；</w:t>
      </w:r>
    </w:p>
    <w:p>
      <w:pPr>
        <w:spacing w:line="360" w:lineRule="auto"/>
        <w:ind w:firstLine="480" w:firstLineChars="200"/>
        <w:rPr>
          <w:rFonts w:hint="eastAsia" w:ascii="宋体" w:hAnsi="宋体"/>
          <w:b/>
          <w:sz w:val="24"/>
        </w:rPr>
      </w:pPr>
      <w:r>
        <w:rPr>
          <w:rFonts w:hint="eastAsia" w:ascii="宋体" w:hAnsi="宋体"/>
          <w:sz w:val="24"/>
        </w:rPr>
        <w:t>2</w:t>
      </w:r>
      <w:r>
        <w:rPr>
          <w:rFonts w:hint="eastAsia" w:ascii="宋体" w:hAnsi="宋体"/>
          <w:b/>
          <w:sz w:val="24"/>
        </w:rPr>
        <w:t>.1</w:t>
      </w:r>
      <w:r>
        <w:rPr>
          <w:rFonts w:hint="eastAsia" w:ascii="宋体" w:hAnsi="宋体"/>
          <w:b/>
          <w:sz w:val="24"/>
          <w:lang w:val="en-US" w:eastAsia="zh-CN"/>
        </w:rPr>
        <w:t>6</w:t>
      </w:r>
      <w:r>
        <w:rPr>
          <w:rFonts w:hint="eastAsia" w:ascii="宋体" w:hAnsi="宋体"/>
          <w:b/>
          <w:sz w:val="24"/>
        </w:rPr>
        <w:t xml:space="preserve"> 交易服务过程特别注意事项</w:t>
      </w:r>
      <w:bookmarkEnd w:id="17"/>
    </w:p>
    <w:p>
      <w:pPr>
        <w:spacing w:line="360" w:lineRule="auto"/>
        <w:ind w:firstLine="480" w:firstLineChars="200"/>
        <w:rPr>
          <w:rFonts w:hint="eastAsia" w:ascii="宋体" w:hAnsi="宋体"/>
          <w:sz w:val="24"/>
        </w:rPr>
      </w:pPr>
      <w:r>
        <w:rPr>
          <w:rFonts w:hint="eastAsia" w:ascii="宋体" w:hAnsi="宋体"/>
          <w:sz w:val="24"/>
        </w:rPr>
        <w:t>2.1</w:t>
      </w:r>
      <w:r>
        <w:rPr>
          <w:rFonts w:hint="eastAsia" w:ascii="宋体" w:hAnsi="宋体"/>
          <w:sz w:val="24"/>
          <w:lang w:val="en-US" w:eastAsia="zh-CN"/>
        </w:rPr>
        <w:t>6</w:t>
      </w:r>
      <w:r>
        <w:rPr>
          <w:rFonts w:hint="eastAsia" w:ascii="宋体" w:hAnsi="宋体"/>
          <w:sz w:val="24"/>
        </w:rPr>
        <w:t>.1在整个交易活动服务过程中应慎重、妥善、依法处理发生的异常情况，并作记录；对违法违规现象或本人无法解决的问题，应及时向单位领导及监督部门报告；必要时，应配合有关部门写好见证报告，做好相关的后续工作。</w:t>
      </w:r>
    </w:p>
    <w:p>
      <w:pPr>
        <w:spacing w:line="360" w:lineRule="auto"/>
        <w:ind w:firstLine="480" w:firstLineChars="200"/>
        <w:rPr>
          <w:rFonts w:hint="eastAsia" w:ascii="宋体" w:hAnsi="宋体"/>
          <w:sz w:val="24"/>
        </w:rPr>
      </w:pPr>
      <w:r>
        <w:rPr>
          <w:rFonts w:hint="eastAsia" w:ascii="宋体" w:hAnsi="宋体"/>
          <w:sz w:val="24"/>
        </w:rPr>
        <w:t>2.1</w:t>
      </w:r>
      <w:r>
        <w:rPr>
          <w:rFonts w:hint="eastAsia" w:ascii="宋体" w:hAnsi="宋体"/>
          <w:sz w:val="24"/>
          <w:lang w:val="en-US" w:eastAsia="zh-CN"/>
        </w:rPr>
        <w:t>6</w:t>
      </w:r>
      <w:r>
        <w:rPr>
          <w:rFonts w:hint="eastAsia" w:ascii="宋体" w:hAnsi="宋体"/>
          <w:sz w:val="24"/>
        </w:rPr>
        <w:t>.2开展招标投标活动前，应事先安排好会场并按规定检查设施是否完备。</w:t>
      </w:r>
    </w:p>
    <w:p>
      <w:pPr>
        <w:spacing w:line="360" w:lineRule="auto"/>
        <w:ind w:firstLine="480" w:firstLineChars="200"/>
        <w:rPr>
          <w:rFonts w:hint="eastAsia" w:ascii="宋体" w:hAnsi="宋体"/>
          <w:sz w:val="24"/>
        </w:rPr>
      </w:pPr>
      <w:r>
        <w:rPr>
          <w:rFonts w:hint="eastAsia" w:ascii="宋体" w:hAnsi="宋体"/>
          <w:sz w:val="24"/>
        </w:rPr>
        <w:t>2.1</w:t>
      </w:r>
      <w:r>
        <w:rPr>
          <w:rFonts w:hint="eastAsia" w:ascii="宋体" w:hAnsi="宋体"/>
          <w:sz w:val="24"/>
          <w:lang w:val="en-US" w:eastAsia="zh-CN"/>
        </w:rPr>
        <w:t>6</w:t>
      </w:r>
      <w:r>
        <w:rPr>
          <w:rFonts w:hint="eastAsia" w:ascii="宋体" w:hAnsi="宋体"/>
          <w:sz w:val="24"/>
        </w:rPr>
        <w:t>.3场地使用完毕后，应切断电源、关门方可离开。</w:t>
      </w:r>
    </w:p>
    <w:p>
      <w:pPr>
        <w:spacing w:line="360" w:lineRule="auto"/>
        <w:ind w:firstLine="420"/>
        <w:rPr>
          <w:rFonts w:hint="eastAsia" w:ascii="宋体" w:hAnsi="宋体"/>
          <w:sz w:val="2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隶书">
    <w:altName w:val="微软雅黑"/>
    <w:panose1 w:val="02010509060101010101"/>
    <w:charset w:val="86"/>
    <w:family w:val="modern"/>
    <w:pitch w:val="default"/>
    <w:sig w:usb0="00000000" w:usb1="00000000" w:usb2="00000000" w:usb3="00000000" w:csb0="00040000" w:csb1="00000000"/>
  </w:font>
  <w:font w:name="TTF46827ACtCID-WinCharSetFFFF-H">
    <w:altName w:val="宋体"/>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multilevel"/>
    <w:tmpl w:val="0000000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D4F48CB"/>
    <w:rsid w:val="2D4F48CB"/>
    <w:rsid w:val="3A1712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uiPriority w:val="0"/>
    <w:pPr>
      <w:keepNext/>
      <w:keepLines/>
      <w:numPr>
        <w:ilvl w:val="0"/>
        <w:numId w:val="1"/>
      </w:numPr>
      <w:spacing w:before="340" w:beforeLines="0" w:after="330" w:afterLines="0" w:line="578" w:lineRule="auto"/>
      <w:outlineLvl w:val="0"/>
    </w:pPr>
    <w:rPr>
      <w:rFonts w:eastAsia="宋体"/>
      <w:b/>
      <w:bCs/>
      <w:kern w:val="44"/>
      <w:sz w:val="44"/>
      <w:szCs w:val="44"/>
      <w:lang w:val="en-US" w:eastAsia="zh-CN" w:bidi="ar-SA"/>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潮州市直及下属单位</Company>
  <Pages>1</Pages>
  <Words>0</Words>
  <Characters>0</Characters>
  <Lines>0</Lines>
  <Paragraphs>0</Paragraphs>
  <TotalTime>0</TotalTime>
  <ScaleCrop>false</ScaleCrop>
  <LinksUpToDate>false</LinksUpToDate>
  <CharactersWithSpaces>0</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2024-05-16T02:04:00Z</dcterms:created>
  <dc:creator>Administrator</dc:creator>
  <cp:lastModifiedBy>Administrator</cp:lastModifiedBy>
  <dcterms:modified xsi:type="dcterms:W3CDTF">2024-05-16T02:05:58Z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