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潮州市公共资源交易中心</w:t>
      </w:r>
      <w:r>
        <w:rPr>
          <w:rFonts w:hint="eastAsia" w:ascii="仿宋" w:hAnsi="仿宋" w:eastAsia="仿宋" w:cs="黑体"/>
          <w:b/>
          <w:sz w:val="44"/>
          <w:szCs w:val="44"/>
        </w:rPr>
        <w:t>资产租赁和资产转让网上竞价交易</w:t>
      </w: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服务指南</w:t>
      </w:r>
    </w:p>
    <w:p>
      <w:pPr>
        <w:ind w:firstLine="442" w:firstLineChars="100"/>
        <w:jc w:val="center"/>
        <w:rPr>
          <w:rFonts w:ascii="仿宋" w:hAnsi="仿宋" w:eastAsia="仿宋" w:cs="宋体"/>
          <w:b/>
          <w:color w:val="000000"/>
          <w:kern w:val="0"/>
          <w:sz w:val="44"/>
          <w:szCs w:val="44"/>
        </w:rPr>
      </w:pPr>
    </w:p>
    <w:p>
      <w:pPr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一、项目委托</w:t>
      </w:r>
    </w:p>
    <w:p>
      <w:pPr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委托人向市公共资源交易中心产权交易部提出进场交易申请，并提交如下相关资料（一式一份，提供的资料为复印件的应加盖单位公章）：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1、《广东省公共资源交易申请表》（附件1）；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2、产权交易委托书（附件2）；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3、企业法人营业执照（事业单位法人证书、社团法人登记证书）、组织机构代码证；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4、法定代表人的资格证明书和授权委托书、法定代表人和经办人的身份证；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5、资产权属的有关证明；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6、委托人的请示及主管部门出具的书面批复意见；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7、资产评估报告；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8、交易合同样式（产权转让需提供，租赁可不提供）;</w:t>
      </w:r>
    </w:p>
    <w:p>
      <w:pPr>
        <w:spacing w:line="360" w:lineRule="auto"/>
        <w:ind w:firstLine="800" w:firstLineChars="2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9、其他材料。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二、项目受理</w:t>
      </w:r>
    </w:p>
    <w:p>
      <w:pPr>
        <w:widowControl/>
        <w:spacing w:line="600" w:lineRule="atLeast"/>
        <w:ind w:firstLine="64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交易中心在3个工作日内对委托人所提交的资料进行齐全性、合规性审核，</w:t>
      </w:r>
      <w:r>
        <w:rPr>
          <w:rFonts w:hint="eastAsia" w:ascii="仿宋" w:hAnsi="仿宋" w:eastAsia="仿宋" w:cs="仿宋"/>
          <w:sz w:val="32"/>
          <w:szCs w:val="32"/>
        </w:rPr>
        <w:t>资料不符合要求的，一次性告知补充及修改内容。资料符合要求的，交易中心在5个工作日内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编制《产权网上交易文件》，经委托人书面确认。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三、发布公告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交易中心发布产权网上交易公告（资产转让在潮州日报、交易中心网站同步发布，</w:t>
      </w:r>
      <w:r>
        <w:rPr>
          <w:rFonts w:hint="eastAsia" w:ascii="仿宋" w:hAnsi="仿宋" w:eastAsia="仿宋" w:cs="黑体"/>
          <w:sz w:val="32"/>
          <w:szCs w:val="32"/>
        </w:rPr>
        <w:t>资产租赁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在交易中心网站发布）。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四、竞买申请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竞买申请人在参加网上竞价前，应携带相关有效证件和资料申请办理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身份认证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数字证书（如已有有效 CA 数字证书的无需重新申请）。</w:t>
      </w:r>
      <w:r>
        <w:rPr>
          <w:rFonts w:hint="eastAsia" w:ascii="仿宋" w:hAnsi="仿宋" w:eastAsia="仿宋" w:cs="仿宋"/>
          <w:sz w:val="32"/>
          <w:szCs w:val="32"/>
        </w:rPr>
        <w:t>初次使用“CA数字证书”须下载“CA数字证书”客户端驱动程序。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凭数字证书登录中心网站，下载并详细阅读网上竞价公告、竞价须知等相关交易文件。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五、缴纳保证金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买申请人在确定参加网上交易活动后，应在交易文件规定的时间内，通过向交易系统递交竞买申请，系统自动生成保证金账号，交纳足额竞价保证金。交易系统在确认竞价保证金到账之后，赋予竞买人参与标的相对应的网上交易竞价资格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六、竞买出价</w:t>
      </w:r>
    </w:p>
    <w:p>
      <w:pPr>
        <w:widowControl/>
        <w:spacing w:line="600" w:lineRule="atLeast"/>
        <w:ind w:firstLine="636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竞买人通过网上交易系统按照报价规则进行报价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、竞价。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七、结果公示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交易中心在产权网上竞价结束后，在交易中心网站发布成交结果公示。</w:t>
      </w:r>
    </w:p>
    <w:p>
      <w:pPr>
        <w:spacing w:line="360" w:lineRule="auto"/>
        <w:ind w:firstLine="482" w:firstLineChars="150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八、资格审核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eastAsia="zh-CN"/>
        </w:rPr>
        <w:t>（交易项目均采用资格后审）</w:t>
      </w:r>
    </w:p>
    <w:p>
      <w:pPr>
        <w:spacing w:line="360" w:lineRule="auto"/>
        <w:ind w:firstLine="800" w:firstLineChars="250"/>
        <w:rPr>
          <w:rFonts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竞得人（法人、其他组织或个人）按照交易文件规定时间提交以下相关资格审核资料：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（一）企业法人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1．企业法人营业执照、组织机构代码证；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2．企业法定代表人身份证；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．法定代表人的资格证明书、授权委托书、法定代表人和经办人的身份证；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（二）其他组织机构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1．依法登记、核准的该组织合法存在的证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件；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2．有效的组织机构代码证书（如已办理“三证合一”或“五证合一”，则无需提供）；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3．该机构负责人有效的身份证；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4．委托他人办理相关手续的，还应提交机构负责人授权委托书、机构负责人</w:t>
      </w:r>
      <w:r>
        <w:rPr>
          <w:rFonts w:ascii="仿宋_GB2312" w:hAnsi="Times New Roman" w:eastAsia="仿宋_GB2312" w:cs="Times New Roman"/>
          <w:sz w:val="32"/>
          <w:szCs w:val="32"/>
        </w:rPr>
        <w:t>身份证和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受托人身份证；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（三）自然人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1．竞得人有效的身份证；</w:t>
      </w:r>
    </w:p>
    <w:p>
      <w:pPr>
        <w:spacing w:line="360" w:lineRule="auto"/>
        <w:ind w:firstLine="480" w:firstLineChars="1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2．委托他人办理相关手续的，还应提交竞得人授权委托书、竞得人</w:t>
      </w:r>
      <w:r>
        <w:rPr>
          <w:rFonts w:ascii="仿宋_GB2312" w:hAnsi="Times New Roman" w:eastAsia="仿宋_GB2312" w:cs="Times New Roman"/>
          <w:sz w:val="32"/>
          <w:szCs w:val="32"/>
        </w:rPr>
        <w:t>身份证和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受托人身份证；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对资格条件有特别要求的，竞得人应在交易文件规定的时间内，将相应资料送委托人审核，委托人根据审核情况出具《产权交易资格要求审核表》。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九、成交确认</w:t>
      </w:r>
    </w:p>
    <w:p>
      <w:pPr>
        <w:widowControl/>
        <w:ind w:firstLine="63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交易中心对遵守交易规则，符合资格条件且资料齐全的在5 个工作日内出具《成交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书》。</w:t>
      </w:r>
    </w:p>
    <w:p>
      <w:pPr>
        <w:widowControl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十、签订合同</w:t>
      </w:r>
    </w:p>
    <w:p>
      <w:pPr>
        <w:widowControl/>
        <w:ind w:firstLine="63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竞得人凭《成交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书》与委托人依据交易文件约定的主要内容签订交易合同。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十一、退回保证金</w:t>
      </w:r>
    </w:p>
    <w:p>
      <w:pPr>
        <w:widowControl/>
        <w:spacing w:line="600" w:lineRule="atLeast"/>
        <w:ind w:firstLine="63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除按照交易文件约定不予退回保证金的情形外，未竞得人的保证金在结束后5个工作日内原路退回；竞得人的保证金在交易合同签订后、委托人将交易合同送交易中心备案后5个工作日内原路退回。</w:t>
      </w:r>
    </w:p>
    <w:p>
      <w:pPr>
        <w:widowControl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附件1.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《广东省公共资源交易申请表》。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产权交易委托书。</w:t>
      </w: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ind w:left="14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drawing>
          <wp:inline distT="0" distB="0" distL="0" distR="0">
            <wp:extent cx="5668010" cy="3733800"/>
            <wp:effectExtent l="0" t="0" r="8890" b="0"/>
            <wp:docPr id="2" name="图片 2" descr="C:\Users\lenovo\AppData\Roaming\Tencent\WXWorkLocal\screen_shot\WXWorkLocal_17496038019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Roaming\Tencent\WXWorkLocal\screen_shot\WXWorkLocal_174960380191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37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D671"/>
    <w:multiLevelType w:val="singleLevel"/>
    <w:tmpl w:val="1C23D671"/>
    <w:lvl w:ilvl="0" w:tentative="0">
      <w:start w:val="2"/>
      <w:numFmt w:val="decimal"/>
      <w:suff w:val="nothing"/>
      <w:lvlText w:val="%1．"/>
      <w:lvlJc w:val="left"/>
      <w:pPr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7"/>
    <w:rsid w:val="000552F4"/>
    <w:rsid w:val="00061A6C"/>
    <w:rsid w:val="00087C69"/>
    <w:rsid w:val="0009701F"/>
    <w:rsid w:val="000A73F1"/>
    <w:rsid w:val="0011219B"/>
    <w:rsid w:val="00125F3C"/>
    <w:rsid w:val="00127905"/>
    <w:rsid w:val="001367EC"/>
    <w:rsid w:val="00152B8C"/>
    <w:rsid w:val="00186B0B"/>
    <w:rsid w:val="001C1E81"/>
    <w:rsid w:val="001D1867"/>
    <w:rsid w:val="002A34B8"/>
    <w:rsid w:val="002B6CEC"/>
    <w:rsid w:val="002C39B7"/>
    <w:rsid w:val="002F4843"/>
    <w:rsid w:val="00305554"/>
    <w:rsid w:val="003477D2"/>
    <w:rsid w:val="003546FF"/>
    <w:rsid w:val="0036327B"/>
    <w:rsid w:val="003749D5"/>
    <w:rsid w:val="003815C9"/>
    <w:rsid w:val="003A4FE2"/>
    <w:rsid w:val="003D7B35"/>
    <w:rsid w:val="003F4BBA"/>
    <w:rsid w:val="004154D3"/>
    <w:rsid w:val="004716A5"/>
    <w:rsid w:val="004A1699"/>
    <w:rsid w:val="004D0DC6"/>
    <w:rsid w:val="004F2340"/>
    <w:rsid w:val="004F63FB"/>
    <w:rsid w:val="005B0F00"/>
    <w:rsid w:val="005E08F1"/>
    <w:rsid w:val="00636CBB"/>
    <w:rsid w:val="00657BEF"/>
    <w:rsid w:val="006D660E"/>
    <w:rsid w:val="006D7EFA"/>
    <w:rsid w:val="007418C8"/>
    <w:rsid w:val="00755E84"/>
    <w:rsid w:val="007829F5"/>
    <w:rsid w:val="00784AA1"/>
    <w:rsid w:val="007959B9"/>
    <w:rsid w:val="007B39CF"/>
    <w:rsid w:val="007B3C60"/>
    <w:rsid w:val="007B7140"/>
    <w:rsid w:val="007C5A74"/>
    <w:rsid w:val="007D7C5B"/>
    <w:rsid w:val="007E4C24"/>
    <w:rsid w:val="008000BB"/>
    <w:rsid w:val="008115F3"/>
    <w:rsid w:val="00813960"/>
    <w:rsid w:val="00846716"/>
    <w:rsid w:val="0085761C"/>
    <w:rsid w:val="008A036C"/>
    <w:rsid w:val="008A75BF"/>
    <w:rsid w:val="008C4285"/>
    <w:rsid w:val="008C57CE"/>
    <w:rsid w:val="008C72A8"/>
    <w:rsid w:val="008F1E18"/>
    <w:rsid w:val="008F7F9A"/>
    <w:rsid w:val="0090560C"/>
    <w:rsid w:val="00912102"/>
    <w:rsid w:val="0094143C"/>
    <w:rsid w:val="00944601"/>
    <w:rsid w:val="00945553"/>
    <w:rsid w:val="00962321"/>
    <w:rsid w:val="00975A78"/>
    <w:rsid w:val="009927F3"/>
    <w:rsid w:val="009D0836"/>
    <w:rsid w:val="009D71D4"/>
    <w:rsid w:val="009E44CB"/>
    <w:rsid w:val="009E6F06"/>
    <w:rsid w:val="00A22111"/>
    <w:rsid w:val="00A25B71"/>
    <w:rsid w:val="00A749C1"/>
    <w:rsid w:val="00A90BF7"/>
    <w:rsid w:val="00AD3ECA"/>
    <w:rsid w:val="00B03496"/>
    <w:rsid w:val="00B3275E"/>
    <w:rsid w:val="00B7600F"/>
    <w:rsid w:val="00B874BC"/>
    <w:rsid w:val="00B97161"/>
    <w:rsid w:val="00BD34B4"/>
    <w:rsid w:val="00BF1D95"/>
    <w:rsid w:val="00BF337C"/>
    <w:rsid w:val="00C16C8E"/>
    <w:rsid w:val="00C1792E"/>
    <w:rsid w:val="00C40CA8"/>
    <w:rsid w:val="00C45A16"/>
    <w:rsid w:val="00C50460"/>
    <w:rsid w:val="00C93DB6"/>
    <w:rsid w:val="00CA698D"/>
    <w:rsid w:val="00CB1173"/>
    <w:rsid w:val="00D225C3"/>
    <w:rsid w:val="00D31BBA"/>
    <w:rsid w:val="00D67DB3"/>
    <w:rsid w:val="00DA6AE5"/>
    <w:rsid w:val="00DE6985"/>
    <w:rsid w:val="00E14844"/>
    <w:rsid w:val="00E33975"/>
    <w:rsid w:val="00E51348"/>
    <w:rsid w:val="00E52CD3"/>
    <w:rsid w:val="00E61544"/>
    <w:rsid w:val="00E84D5C"/>
    <w:rsid w:val="00E9514D"/>
    <w:rsid w:val="00EC0BED"/>
    <w:rsid w:val="00EC11E6"/>
    <w:rsid w:val="00ED64F1"/>
    <w:rsid w:val="00EF4465"/>
    <w:rsid w:val="00F1194A"/>
    <w:rsid w:val="00F71ACE"/>
    <w:rsid w:val="00FA0EDD"/>
    <w:rsid w:val="00FE03EE"/>
    <w:rsid w:val="00FE752F"/>
    <w:rsid w:val="0203261A"/>
    <w:rsid w:val="0F2110A2"/>
    <w:rsid w:val="226208E8"/>
    <w:rsid w:val="295C3BEC"/>
    <w:rsid w:val="35BF6F97"/>
    <w:rsid w:val="42EA52B0"/>
    <w:rsid w:val="504919EA"/>
    <w:rsid w:val="50D60653"/>
    <w:rsid w:val="5B996261"/>
    <w:rsid w:val="632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702</Words>
  <Characters>702</Characters>
  <Lines>175</Lines>
  <Paragraphs>73</Paragraphs>
  <TotalTime>4</TotalTime>
  <ScaleCrop>false</ScaleCrop>
  <LinksUpToDate>false</LinksUpToDate>
  <CharactersWithSpaces>1331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2023-08-28T03:22:00Z</dcterms:created>
  <dc:creator>zjcs01</dc:creator>
  <cp:lastModifiedBy>榕</cp:lastModifiedBy>
  <cp:lastPrinted>2025-06-10T08:07:00Z</cp:lastPrinted>
  <dcterms:modified xsi:type="dcterms:W3CDTF">2025-06-16T03:46:31Z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